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rPr>
          <w:rFonts w:hint="eastAsia" w:ascii="宋体" w:hAnsi="宋体"/>
          <w:b/>
          <w:color w:val="000000"/>
          <w:sz w:val="72"/>
          <w:szCs w:val="72"/>
          <w:highlight w:val="none"/>
        </w:rPr>
      </w:pPr>
      <w:r>
        <w:rPr>
          <w:rFonts w:hint="eastAsia" w:ascii="宋体" w:hAnsi="宋体"/>
          <w:b/>
          <w:color w:val="000000"/>
          <w:sz w:val="72"/>
          <w:szCs w:val="72"/>
          <w:highlight w:val="none"/>
        </w:rPr>
      </w:r>
      <w:r>
        <w:rPr>
          <w:highlight w:val="none"/>
        </w:rPr>
      </w:r>
      <w:r/>
    </w:p>
    <w:p>
      <w:pPr>
        <w:pStyle w:val="879"/>
        <w:jc w:val="center"/>
        <w:rPr>
          <w:rFonts w:hint="eastAsia" w:hAnsi="宋体"/>
          <w:b/>
          <w:spacing w:val="40"/>
          <w:sz w:val="96"/>
          <w:szCs w:val="96"/>
          <w:highlight w:val="none"/>
        </w:rPr>
      </w:pPr>
      <w:r>
        <w:rPr>
          <w:rFonts w:hint="eastAsia" w:ascii="宋体" w:hAnsi="宋体"/>
          <w:b/>
          <w:color w:val="000000"/>
          <w:sz w:val="72"/>
          <w:szCs w:val="72"/>
          <w:highlight w:val="none"/>
        </w:rPr>
        <w:t xml:space="preserve">苏州市吴中区政府采购</w:t>
      </w:r>
      <w:r>
        <w:rPr>
          <w:highlight w:val="none"/>
        </w:rPr>
      </w:r>
      <w:r/>
    </w:p>
    <w:p>
      <w:pPr>
        <w:pStyle w:val="879"/>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highlight w:val="none"/>
        </w:rPr>
      </w:r>
      <w:r/>
    </w:p>
    <w:p>
      <w:pPr>
        <w:pStyle w:val="879"/>
        <w:jc w:val="center"/>
        <w:rPr>
          <w:highlight w:val="none"/>
        </w:rPr>
      </w:pPr>
      <w:r>
        <w:rPr>
          <w:highlight w:val="none"/>
        </w:rPr>
      </w:r>
      <w:r>
        <w:rPr>
          <w:highlight w:val="none"/>
        </w:rPr>
      </w:r>
      <w:r/>
    </w:p>
    <w:p>
      <w:pPr>
        <w:pStyle w:val="879"/>
        <w:jc w:val="center"/>
        <w:rPr>
          <w:highlight w:val="none"/>
        </w:rPr>
      </w:pPr>
      <w:r>
        <w:rPr>
          <w:highlight w:val="none"/>
        </w:rPr>
      </w:r>
      <w:r>
        <w:rPr>
          <w:highlight w:val="none"/>
        </w:rPr>
      </w:r>
      <w:r/>
    </w:p>
    <w:p>
      <w:pPr>
        <w:pStyle w:val="918"/>
        <w:rPr>
          <w:highlight w:val="none"/>
        </w:rPr>
      </w:pPr>
      <w:r>
        <w:rPr>
          <w:highlight w:val="none"/>
        </w:rPr>
      </w:r>
      <w:r>
        <w:rPr>
          <w:highlight w:val="none"/>
        </w:rPr>
      </w:r>
      <w:r/>
    </w:p>
    <w:p>
      <w:pPr>
        <w:pStyle w:val="879"/>
        <w:rPr>
          <w:highlight w:val="none"/>
        </w:rPr>
      </w:pPr>
      <w:r>
        <w:rPr>
          <w:highlight w:val="none"/>
        </w:rPr>
      </w:r>
      <w:r>
        <w:rPr>
          <w:highlight w:val="none"/>
        </w:rPr>
      </w:r>
      <w:r/>
    </w:p>
    <w:p>
      <w:pPr>
        <w:pStyle w:val="918"/>
        <w:rPr>
          <w:highlight w:val="none"/>
        </w:rPr>
      </w:pPr>
      <w:r>
        <w:rPr>
          <w:highlight w:val="none"/>
        </w:rPr>
      </w:r>
      <w:r>
        <w:rPr>
          <w:highlight w:val="none"/>
        </w:rPr>
      </w:r>
      <w:r/>
    </w:p>
    <w:p>
      <w:pPr>
        <w:pStyle w:val="879"/>
        <w:rPr>
          <w:highlight w:val="none"/>
        </w:rPr>
      </w:pPr>
      <w:r>
        <w:rPr>
          <w:highlight w:val="none"/>
        </w:rPr>
      </w:r>
      <w:r>
        <w:rPr>
          <w:highlight w:val="none"/>
        </w:rPr>
      </w:r>
      <w:r/>
    </w:p>
    <w:p>
      <w:pPr>
        <w:pStyle w:val="879"/>
        <w:jc w:val="center"/>
        <w:rPr>
          <w:highlight w:val="none"/>
        </w:rPr>
      </w:pPr>
      <w:r>
        <w:rPr>
          <w:highlight w:val="none"/>
        </w:rPr>
      </w:r>
      <w:r>
        <w:rPr>
          <w:highlight w:val="none"/>
        </w:rPr>
      </w:r>
      <w:r/>
    </w:p>
    <w:p>
      <w:pPr>
        <w:pStyle w:val="879"/>
        <w:jc w:val="center"/>
        <w:rPr>
          <w:highlight w:val="none"/>
        </w:rPr>
      </w:pPr>
      <w:r>
        <w:rPr>
          <w:highlight w:val="none"/>
        </w:rPr>
      </w:r>
      <w:r>
        <w:rPr>
          <w:highlight w:val="none"/>
        </w:rPr>
      </w:r>
      <w:r/>
    </w:p>
    <w:p>
      <w:pPr>
        <w:pStyle w:val="879"/>
        <w:spacing w:line="360" w:lineRule="auto"/>
        <w:rPr>
          <w:b/>
          <w:sz w:val="28"/>
          <w:highlight w:val="none"/>
        </w:rPr>
      </w:pPr>
      <w:r>
        <w:rPr>
          <w:b/>
          <w:sz w:val="28"/>
          <w:highlight w:val="none"/>
        </w:rPr>
        <w:t xml:space="preserve">       </w:t>
      </w:r>
      <w:r>
        <w:rPr>
          <w:rFonts w:hint="eastAsia"/>
          <w:b/>
          <w:sz w:val="28"/>
          <w:highlight w:val="none"/>
        </w:rPr>
        <w:t xml:space="preserve">  </w:t>
      </w:r>
      <w:r>
        <w:rPr>
          <w:b/>
          <w:sz w:val="28"/>
          <w:highlight w:val="none"/>
        </w:rPr>
        <w:t xml:space="preserve"> 采购编号：</w:t>
      </w:r>
      <w:r>
        <w:rPr>
          <w:rFonts w:hint="eastAsia"/>
          <w:b/>
          <w:sz w:val="28"/>
          <w:highlight w:val="none"/>
          <w:lang w:eastAsia="zh-CN"/>
        </w:rPr>
        <w:t xml:space="preserve">JSZC-320506-ZHCD-C2025-0024号</w:t>
      </w:r>
      <w:r>
        <w:rPr>
          <w:highlight w:val="none"/>
        </w:rPr>
      </w:r>
      <w:r/>
    </w:p>
    <w:p>
      <w:pPr>
        <w:pStyle w:val="879"/>
        <w:spacing w:line="360" w:lineRule="auto"/>
        <w:rPr>
          <w:rFonts w:hint="eastAsia" w:eastAsia="宋体"/>
          <w:b/>
          <w:sz w:val="28"/>
          <w:highlight w:val="none"/>
        </w:rPr>
      </w:pPr>
      <w:r>
        <w:rPr>
          <w:rFonts w:hint="eastAsia"/>
          <w:b/>
          <w:sz w:val="28"/>
          <w:highlight w:val="none"/>
        </w:rPr>
        <w:t xml:space="preserve">          项目名称：</w:t>
      </w:r>
      <w:r>
        <w:rPr>
          <w:rFonts w:hint="eastAsia"/>
          <w:b/>
          <w:sz w:val="28"/>
          <w:highlight w:val="none"/>
          <w:lang w:eastAsia="zh-CN"/>
        </w:rPr>
        <w:t xml:space="preserve">2026年太湖街道食堂食材配送项目</w:t>
      </w:r>
      <w:r>
        <w:rPr>
          <w:highlight w:val="none"/>
        </w:rPr>
      </w:r>
      <w:r/>
    </w:p>
    <w:p>
      <w:pPr>
        <w:pStyle w:val="879"/>
        <w:spacing w:line="360" w:lineRule="auto"/>
        <w:rPr>
          <w:rFonts w:hint="eastAsia" w:eastAsia="宋体"/>
          <w:b/>
          <w:sz w:val="28"/>
          <w:highlight w:val="none"/>
        </w:rPr>
      </w:pPr>
      <w:r>
        <w:rPr>
          <w:b/>
          <w:sz w:val="28"/>
          <w:highlight w:val="none"/>
        </w:rPr>
        <w:t xml:space="preserve">          采购</w:t>
      </w:r>
      <w:r>
        <w:rPr>
          <w:rFonts w:hint="eastAsia"/>
          <w:b/>
          <w:sz w:val="28"/>
          <w:highlight w:val="none"/>
        </w:rPr>
        <w:t xml:space="preserve">单位</w:t>
      </w:r>
      <w:r>
        <w:rPr>
          <w:b/>
          <w:sz w:val="28"/>
          <w:highlight w:val="none"/>
        </w:rPr>
        <w:t xml:space="preserve">：</w:t>
      </w:r>
      <w:r>
        <w:rPr>
          <w:rFonts w:hint="eastAsia"/>
          <w:b/>
          <w:sz w:val="28"/>
          <w:highlight w:val="none"/>
          <w:lang w:eastAsia="zh-CN"/>
        </w:rPr>
        <w:t xml:space="preserve">苏州市吴中区人民政府太湖街道办事处</w:t>
      </w:r>
      <w:r>
        <w:rPr>
          <w:highlight w:val="none"/>
        </w:rPr>
      </w:r>
      <w:r/>
    </w:p>
    <w:p>
      <w:pPr>
        <w:pStyle w:val="879"/>
        <w:ind w:firstLine="1405"/>
        <w:spacing w:line="360" w:lineRule="auto"/>
        <w:rPr>
          <w:rFonts w:hint="eastAsia"/>
          <w:b/>
          <w:sz w:val="28"/>
          <w:highlight w:val="none"/>
        </w:rPr>
      </w:pPr>
      <w:r>
        <w:rPr>
          <w:b/>
          <w:sz w:val="28"/>
          <w:highlight w:val="none"/>
        </w:rPr>
        <w:t xml:space="preserve">采购</w:t>
      </w:r>
      <w:r>
        <w:rPr>
          <w:rFonts w:hint="eastAsia"/>
          <w:b/>
          <w:sz w:val="28"/>
          <w:highlight w:val="none"/>
        </w:rPr>
        <w:t xml:space="preserve">代理机构</w:t>
      </w:r>
      <w:r>
        <w:rPr>
          <w:b/>
          <w:sz w:val="28"/>
          <w:highlight w:val="none"/>
        </w:rPr>
        <w:t xml:space="preserve">：</w:t>
      </w:r>
      <w:r>
        <w:rPr>
          <w:rFonts w:hint="eastAsia"/>
          <w:b/>
          <w:sz w:val="28"/>
          <w:highlight w:val="none"/>
        </w:rPr>
        <w:t xml:space="preserve">江苏至衡诚达工程咨询有限公司</w:t>
      </w:r>
      <w:r>
        <w:rPr>
          <w:highlight w:val="none"/>
        </w:rPr>
      </w:r>
      <w:r/>
    </w:p>
    <w:p>
      <w:pPr>
        <w:pStyle w:val="879"/>
        <w:ind w:firstLine="1405"/>
        <w:spacing w:line="360" w:lineRule="auto"/>
        <w:rPr>
          <w:b/>
          <w:sz w:val="28"/>
          <w:highlight w:val="none"/>
        </w:rPr>
      </w:pPr>
      <w:r>
        <w:rPr>
          <w:rFonts w:hint="eastAsia"/>
          <w:b/>
          <w:sz w:val="28"/>
          <w:highlight w:val="none"/>
        </w:rPr>
        <w:t xml:space="preserve">采购类型：服务类</w:t>
      </w:r>
      <w:r>
        <w:rPr>
          <w:highlight w:val="none"/>
        </w:rPr>
      </w:r>
      <w:r/>
    </w:p>
    <w:p>
      <w:pPr>
        <w:pStyle w:val="879"/>
        <w:spacing w:line="360" w:lineRule="auto"/>
        <w:rPr>
          <w:rFonts w:hint="eastAsia"/>
          <w:b/>
          <w:sz w:val="28"/>
          <w:highlight w:val="none"/>
        </w:rPr>
      </w:pPr>
      <w:r>
        <w:rPr>
          <w:rFonts w:hint="eastAsia"/>
          <w:b/>
          <w:sz w:val="28"/>
          <w:highlight w:val="none"/>
        </w:rPr>
      </w:r>
      <w:r>
        <w:rPr>
          <w:highlight w:val="none"/>
        </w:rPr>
      </w:r>
      <w:r/>
    </w:p>
    <w:p>
      <w:pPr>
        <w:pStyle w:val="879"/>
        <w:spacing w:line="360" w:lineRule="auto"/>
        <w:rPr>
          <w:rFonts w:hint="eastAsia"/>
          <w:b/>
          <w:sz w:val="32"/>
          <w:highlight w:val="none"/>
        </w:rPr>
      </w:pPr>
      <w:r>
        <w:rPr>
          <w:rFonts w:hint="eastAsia"/>
          <w:b/>
          <w:sz w:val="32"/>
          <w:highlight w:val="none"/>
        </w:rPr>
      </w:r>
      <w:r>
        <w:rPr>
          <w:highlight w:val="none"/>
        </w:rPr>
      </w:r>
      <w:r/>
    </w:p>
    <w:p>
      <w:pPr>
        <w:pStyle w:val="879"/>
        <w:spacing w:line="360" w:lineRule="auto"/>
        <w:rPr>
          <w:b/>
          <w:spacing w:val="-26"/>
          <w:highlight w:val="none"/>
        </w:rPr>
      </w:pPr>
      <w:r>
        <w:rPr>
          <w:b/>
          <w:spacing w:val="-26"/>
          <w:highlight w:val="none"/>
        </w:rPr>
      </w:r>
      <w:r>
        <w:rPr>
          <w:highlight w:val="none"/>
        </w:rPr>
      </w:r>
      <w:r/>
    </w:p>
    <w:p>
      <w:pPr>
        <w:pStyle w:val="1193"/>
        <w:rPr>
          <w:highlight w:val="none"/>
        </w:rPr>
      </w:pPr>
      <w:r>
        <w:rPr>
          <w:highlight w:val="none"/>
        </w:rPr>
      </w:r>
      <w:r>
        <w:rPr>
          <w:highlight w:val="none"/>
        </w:rPr>
      </w:r>
      <w:r/>
    </w:p>
    <w:p>
      <w:pPr>
        <w:pStyle w:val="879"/>
        <w:rPr>
          <w:highlight w:val="none"/>
        </w:rPr>
      </w:pPr>
      <w:r>
        <w:rPr>
          <w:highlight w:val="none"/>
        </w:rPr>
      </w:r>
      <w:r>
        <w:rPr>
          <w:highlight w:val="none"/>
        </w:rPr>
      </w:r>
      <w:r/>
    </w:p>
    <w:p>
      <w:pPr>
        <w:pStyle w:val="879"/>
        <w:rPr>
          <w:highlight w:val="none"/>
        </w:rPr>
      </w:pPr>
      <w:r>
        <w:rPr>
          <w:highlight w:val="none"/>
        </w:rPr>
      </w:r>
      <w:r>
        <w:rPr>
          <w:highlight w:val="none"/>
        </w:rPr>
      </w:r>
      <w:r/>
    </w:p>
    <w:p>
      <w:pPr>
        <w:pStyle w:val="879"/>
        <w:rPr>
          <w:highlight w:val="none"/>
        </w:rPr>
      </w:pPr>
      <w:r>
        <w:rPr>
          <w:highlight w:val="none"/>
        </w:rPr>
      </w:r>
      <w:r>
        <w:rPr>
          <w:highlight w:val="none"/>
        </w:rPr>
      </w:r>
      <w:r/>
    </w:p>
    <w:p>
      <w:pPr>
        <w:pStyle w:val="879"/>
        <w:rPr>
          <w:highlight w:val="none"/>
        </w:rPr>
      </w:pPr>
      <w:r>
        <w:rPr>
          <w:highlight w:val="none"/>
        </w:rPr>
      </w:r>
      <w:r>
        <w:rPr>
          <w:highlight w:val="none"/>
        </w:rPr>
      </w:r>
      <w:r/>
    </w:p>
    <w:p>
      <w:pPr>
        <w:pStyle w:val="879"/>
        <w:rPr>
          <w:b/>
          <w:highlight w:val="none"/>
        </w:rPr>
      </w:pPr>
      <w:r>
        <w:rPr>
          <w:b/>
          <w:highlight w:val="none"/>
        </w:rPr>
      </w:r>
      <w:r>
        <w:rPr>
          <w:highlight w:val="none"/>
        </w:rPr>
      </w:r>
      <w:r/>
    </w:p>
    <w:p>
      <w:pPr>
        <w:pStyle w:val="879"/>
        <w:jc w:val="center"/>
        <w:rPr>
          <w:rFonts w:hAnsi="宋体"/>
          <w:b/>
          <w:sz w:val="32"/>
          <w:highlight w:val="none"/>
        </w:rPr>
      </w:pPr>
      <w:r>
        <w:rPr>
          <w:rFonts w:hAnsi="宋体"/>
          <w:b/>
          <w:sz w:val="32"/>
          <w:highlight w:val="none"/>
        </w:rPr>
        <w:t xml:space="preserve">二</w:t>
      </w:r>
      <w:r>
        <w:rPr>
          <w:rFonts w:hint="eastAsia"/>
          <w:b/>
          <w:sz w:val="32"/>
          <w:highlight w:val="none"/>
        </w:rPr>
        <w:t xml:space="preserve">〇</w:t>
      </w:r>
      <w:r>
        <w:rPr>
          <w:rFonts w:hint="eastAsia" w:hAnsi="宋体"/>
          <w:b/>
          <w:sz w:val="32"/>
          <w:highlight w:val="none"/>
        </w:rPr>
        <w:t xml:space="preserve">二</w:t>
      </w:r>
      <w:r>
        <w:rPr>
          <w:rFonts w:hint="eastAsia"/>
          <w:b/>
          <w:sz w:val="32"/>
          <w:highlight w:val="none"/>
          <w:lang w:val="en-US" w:eastAsia="zh-CN"/>
        </w:rPr>
        <w:t xml:space="preserve">五</w:t>
      </w:r>
      <w:r>
        <w:rPr>
          <w:rFonts w:hAnsi="宋体"/>
          <w:b/>
          <w:sz w:val="32"/>
          <w:highlight w:val="none"/>
        </w:rPr>
        <w:t xml:space="preserve">年</w:t>
      </w:r>
      <w:r>
        <w:rPr>
          <w:rFonts w:hint="eastAsia" w:hAnsi="宋体"/>
          <w:b/>
          <w:sz w:val="32"/>
          <w:highlight w:val="none"/>
          <w:lang w:val="en-US" w:eastAsia="zh-CN"/>
        </w:rPr>
        <w:t xml:space="preserve">十二</w:t>
      </w:r>
      <w:r>
        <w:rPr>
          <w:rFonts w:hAnsi="宋体"/>
          <w:b/>
          <w:sz w:val="32"/>
          <w:highlight w:val="none"/>
        </w:rPr>
        <w:t xml:space="preserve">月</w:t>
      </w:r>
      <w:r>
        <w:rPr>
          <w:highlight w:val="none"/>
        </w:rPr>
      </w:r>
      <w:r/>
    </w:p>
    <w:p>
      <w:pPr>
        <w:pStyle w:val="918"/>
        <w:rPr>
          <w:highlight w:val="none"/>
        </w:rPr>
      </w:pPr>
      <w:r>
        <w:rPr>
          <w:highlight w:val="none"/>
        </w:rPr>
        <w:br w:type="page" w:clear="all"/>
      </w:r>
      <w:r>
        <w:rPr>
          <w:highlight w:val="none"/>
        </w:rPr>
      </w:r>
      <w:r/>
    </w:p>
    <w:p>
      <w:pPr>
        <w:pStyle w:val="879"/>
        <w:jc w:val="center"/>
        <w:spacing w:line="360" w:lineRule="auto"/>
        <w:rPr>
          <w:rFonts w:ascii="宋体" w:hAnsi="宋体"/>
          <w:b/>
          <w:sz w:val="32"/>
          <w:szCs w:val="32"/>
          <w:highlight w:val="none"/>
        </w:rPr>
      </w:pPr>
      <w:r>
        <w:rPr>
          <w:rFonts w:hint="eastAsia" w:ascii="宋体" w:hAnsi="宋体"/>
          <w:b/>
          <w:sz w:val="32"/>
          <w:szCs w:val="32"/>
          <w:highlight w:val="none"/>
        </w:rPr>
        <w:t xml:space="preserve">前附表</w:t>
      </w:r>
      <w:r>
        <w:rPr>
          <w:highlight w:val="none"/>
        </w:rPr>
      </w:r>
      <w:r/>
    </w:p>
    <w:tbl>
      <w:tblPr>
        <w:tblW w:w="9196" w:type="dxa"/>
        <w:jc w:val="center"/>
        <w:tblInd w:w="-3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6908"/>
      </w:tblGrid>
      <w:tr>
        <w:trPr>
          <w:trHeight w:val="585"/>
        </w:trPr>
        <w:tc>
          <w:tcPr>
            <w:tcW w:w="766" w:type="dxa"/>
            <w:vAlign w:val="center"/>
            <w:textDirection w:val="lrTb"/>
            <w:noWrap w:val="false"/>
          </w:tcPr>
          <w:p>
            <w:pPr>
              <w:pStyle w:val="879"/>
              <w:ind w:right="-136"/>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highlight w:val="none"/>
              </w:rPr>
            </w:r>
            <w:r/>
          </w:p>
        </w:tc>
        <w:tc>
          <w:tcPr>
            <w:tcW w:w="1522" w:type="dxa"/>
            <w:vAlign w:val="center"/>
            <w:textDirection w:val="lrTb"/>
            <w:noWrap w:val="false"/>
          </w:tcPr>
          <w:p>
            <w:pPr>
              <w:pStyle w:val="879"/>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项目内容</w:t>
            </w:r>
            <w:r>
              <w:rPr>
                <w:highlight w:val="none"/>
              </w:rPr>
            </w:r>
            <w:r/>
          </w:p>
        </w:tc>
        <w:tc>
          <w:tcPr>
            <w:tcW w:w="6908" w:type="dxa"/>
            <w:vAlign w:val="center"/>
            <w:textDirection w:val="lrTb"/>
            <w:noWrap w:val="false"/>
          </w:tcPr>
          <w:p>
            <w:pPr>
              <w:pStyle w:val="879"/>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内容规定</w:t>
            </w:r>
            <w:r>
              <w:rPr>
                <w:highlight w:val="none"/>
              </w:rPr>
            </w:r>
            <w:r/>
          </w:p>
        </w:tc>
      </w:tr>
      <w:tr>
        <w:trPr>
          <w:trHeight w:val="315"/>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r/>
          </w:p>
        </w:tc>
        <w:tc>
          <w:tcPr>
            <w:tcW w:w="6908" w:type="dxa"/>
            <w:vAlign w:val="center"/>
            <w:textDirection w:val="lrTb"/>
            <w:noWrap w:val="false"/>
          </w:tcPr>
          <w:p>
            <w:pPr>
              <w:pStyle w:val="879"/>
              <w:spacing w:line="40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2026年太湖街道食堂食材配送项目</w:t>
            </w:r>
            <w:r>
              <w:rPr>
                <w:highlight w:val="none"/>
              </w:rPr>
            </w:r>
            <w:r/>
          </w:p>
        </w:tc>
      </w:tr>
      <w:tr>
        <w:trPr>
          <w:trHeight w:val="510"/>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响应文件 有效期</w:t>
            </w:r>
            <w:r>
              <w:rPr>
                <w:highlight w:val="none"/>
              </w:rPr>
            </w:r>
            <w:r/>
          </w:p>
        </w:tc>
        <w:tc>
          <w:tcPr>
            <w:tcW w:w="6908" w:type="dxa"/>
            <w:vAlign w:val="center"/>
            <w:textDirection w:val="lrTb"/>
            <w:noWrap w:val="false"/>
          </w:tcPr>
          <w:p>
            <w:pPr>
              <w:pStyle w:val="879"/>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响应文件提交截止之日起45天（日历日）</w:t>
            </w:r>
            <w:r>
              <w:rPr>
                <w:highlight w:val="none"/>
              </w:rPr>
            </w:r>
            <w:r/>
          </w:p>
        </w:tc>
      </w:tr>
      <w:tr>
        <w:trPr>
          <w:trHeight w:val="434"/>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磋商保证金</w:t>
            </w:r>
            <w:r>
              <w:rPr>
                <w:highlight w:val="none"/>
              </w:rPr>
            </w:r>
            <w:r/>
          </w:p>
        </w:tc>
        <w:tc>
          <w:tcPr>
            <w:tcW w:w="6908" w:type="dxa"/>
            <w:vAlign w:val="center"/>
            <w:textDirection w:val="lrTb"/>
            <w:noWrap w:val="false"/>
          </w:tcPr>
          <w:p>
            <w:pPr>
              <w:pStyle w:val="1183"/>
              <w:rPr>
                <w:rFonts w:eastAsia="宋体"/>
                <w:szCs w:val="24"/>
                <w:highlight w:val="none"/>
              </w:rPr>
            </w:pPr>
            <w:r>
              <w:rPr>
                <w:rFonts w:eastAsia="宋体"/>
                <w:szCs w:val="24"/>
                <w:highlight w:val="none"/>
              </w:rPr>
              <w:t xml:space="preserve">保证金：</w:t>
            </w:r>
            <w:r>
              <w:rPr>
                <w:highlight w:val="none"/>
              </w:rPr>
            </w:r>
            <w:r/>
          </w:p>
          <w:p>
            <w:pPr>
              <w:pStyle w:val="1183"/>
              <w:rPr>
                <w:rFonts w:eastAsia="宋体"/>
                <w:szCs w:val="24"/>
                <w:highlight w:val="none"/>
              </w:rPr>
            </w:pPr>
            <w:r>
              <w:rPr>
                <w:rFonts w:ascii="MS Gothic" w:hAnsi="MS Gothic" w:eastAsia="MS Gothic" w:cs="MS Gothic"/>
                <w:szCs w:val="24"/>
                <w:highlight w:val="none"/>
              </w:rPr>
              <w:t xml:space="preserve">☑</w:t>
            </w:r>
            <w:r>
              <w:rPr>
                <w:rFonts w:eastAsia="宋体"/>
                <w:szCs w:val="24"/>
                <w:highlight w:val="none"/>
              </w:rPr>
              <w:t xml:space="preserve">不需提交，采购文件中有关保证金的规定均不适用。</w:t>
            </w:r>
            <w:r>
              <w:rPr>
                <w:highlight w:val="none"/>
              </w:rPr>
            </w:r>
            <w:r/>
          </w:p>
          <w:p>
            <w:pPr>
              <w:pStyle w:val="1183"/>
              <w:rPr>
                <w:rFonts w:eastAsia="宋体"/>
                <w:szCs w:val="24"/>
                <w:highlight w:val="none"/>
              </w:rPr>
            </w:pPr>
            <w:r>
              <w:rPr>
                <w:rFonts w:ascii="MS Gothic" w:hAnsi="MS Gothic" w:eastAsia="MS Gothic" w:cs="MS Gothic"/>
                <w:szCs w:val="24"/>
                <w:highlight w:val="none"/>
              </w:rPr>
              <w:t xml:space="preserve">☒</w:t>
            </w:r>
            <w:r>
              <w:rPr>
                <w:rFonts w:eastAsia="宋体"/>
                <w:szCs w:val="24"/>
                <w:highlight w:val="none"/>
              </w:rPr>
              <w:t xml:space="preserve">需提交，保证金金额（¥）：</w:t>
            </w:r>
            <w:r>
              <w:rPr>
                <w:rFonts w:hint="eastAsia" w:eastAsia="宋体"/>
                <w:szCs w:val="24"/>
                <w:highlight w:val="none"/>
              </w:rPr>
              <w:t xml:space="preserve">     元整</w:t>
            </w:r>
            <w:r>
              <w:rPr>
                <w:highlight w:val="none"/>
              </w:rPr>
            </w:r>
            <w:r/>
          </w:p>
          <w:p>
            <w:pPr>
              <w:pStyle w:val="879"/>
              <w:rPr>
                <w:rFonts w:hint="eastAsia" w:ascii="宋体" w:hAnsi="宋体"/>
                <w:sz w:val="24"/>
                <w:highlight w:val="none"/>
              </w:rPr>
            </w:pPr>
            <w:r>
              <w:rPr>
                <w:rFonts w:hint="eastAsia" w:ascii="宋体" w:hAnsi="宋体"/>
                <w:sz w:val="24"/>
                <w:highlight w:val="none"/>
              </w:rPr>
              <w:t xml:space="preserve">帐户名：江苏至衡诚达工程咨询有限公司苏州分公司</w:t>
            </w:r>
            <w:r>
              <w:rPr>
                <w:highlight w:val="none"/>
              </w:rPr>
            </w:r>
            <w:r/>
          </w:p>
          <w:p>
            <w:pPr>
              <w:pStyle w:val="879"/>
              <w:rPr>
                <w:rFonts w:hint="eastAsia" w:ascii="宋体" w:hAnsi="宋体"/>
                <w:sz w:val="24"/>
                <w:highlight w:val="none"/>
              </w:rPr>
            </w:pPr>
            <w:r>
              <w:rPr>
                <w:rFonts w:hint="eastAsia" w:ascii="宋体" w:hAnsi="宋体"/>
                <w:sz w:val="24"/>
                <w:highlight w:val="none"/>
              </w:rPr>
              <w:t xml:space="preserve">开户银行：中国银行吴中经济开发区支行</w:t>
            </w:r>
            <w:r>
              <w:rPr>
                <w:highlight w:val="none"/>
              </w:rPr>
            </w:r>
            <w:r/>
          </w:p>
          <w:p>
            <w:pPr>
              <w:pStyle w:val="879"/>
              <w:rPr>
                <w:rFonts w:hint="eastAsia" w:ascii="宋体" w:hAnsi="宋体"/>
                <w:sz w:val="24"/>
                <w:highlight w:val="none"/>
              </w:rPr>
            </w:pPr>
            <w:r>
              <w:rPr>
                <w:rFonts w:hint="eastAsia" w:ascii="宋体" w:hAnsi="宋体"/>
                <w:sz w:val="24"/>
                <w:highlight w:val="none"/>
              </w:rPr>
              <w:t xml:space="preserve">银行帐号：535280515118</w:t>
            </w:r>
            <w:r>
              <w:rPr>
                <w:highlight w:val="none"/>
              </w:rPr>
            </w:r>
            <w:r/>
          </w:p>
          <w:p>
            <w:pPr>
              <w:pStyle w:val="879"/>
              <w:jc w:val="left"/>
              <w:spacing w:line="400" w:lineRule="exact"/>
              <w:rPr>
                <w:rFonts w:ascii="宋体" w:hAnsi="宋体" w:cs="宋体"/>
                <w:color w:val="000000"/>
                <w:sz w:val="24"/>
                <w:highlight w:val="none"/>
              </w:rPr>
            </w:pPr>
            <w:r>
              <w:rPr>
                <w:rFonts w:hint="eastAsia" w:ascii="宋体" w:hAnsi="宋体"/>
                <w:sz w:val="24"/>
                <w:highlight w:val="none"/>
              </w:rPr>
              <w:t xml:space="preserve">投标保证金的提交方式：供应商的投标保证金以银行汇票方式或银行本票方式，于投标截止时间前随同投标文件在开标现场一并提交给代理机构。代理机构在开标现场收取投标保证金后当场开具有效收据。供应商如为实施国库集中支付管理的事业单位，无需提交投标（响应）保证金，但应于开标（或磋商等）现场提交盖有本单位公章的有效的统一社会信用代码证或者组织机构代码证复印件，否则被视作无效投标处理。</w:t>
            </w:r>
            <w:r>
              <w:rPr>
                <w:rFonts w:hint="eastAsia" w:ascii="宋体" w:hAnsi="宋体" w:cs="宋体"/>
                <w:color w:val="000000"/>
                <w:sz w:val="24"/>
                <w:highlight w:val="none"/>
                <w:lang w:val="zh-CN"/>
              </w:rPr>
              <w:t xml:space="preserve">。</w:t>
            </w:r>
            <w:r>
              <w:rPr>
                <w:highlight w:val="none"/>
              </w:rPr>
            </w:r>
            <w:r/>
          </w:p>
        </w:tc>
      </w:tr>
      <w:tr>
        <w:trPr>
          <w:trHeight w:val="703"/>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 份数</w:t>
            </w:r>
            <w:r>
              <w:rPr>
                <w:highlight w:val="none"/>
              </w:rPr>
            </w:r>
            <w:r/>
          </w:p>
        </w:tc>
        <w:tc>
          <w:tcPr>
            <w:tcW w:w="6908" w:type="dxa"/>
            <w:vAlign w:val="center"/>
            <w:textDirection w:val="lrTb"/>
            <w:noWrap w:val="false"/>
          </w:tcPr>
          <w:p>
            <w:pPr>
              <w:pStyle w:val="879"/>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highlight w:val="none"/>
              </w:rPr>
            </w:r>
            <w:r/>
          </w:p>
        </w:tc>
      </w:tr>
      <w:tr>
        <w:trPr>
          <w:trHeight w:val="920"/>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响应文件提交截止时间</w:t>
            </w:r>
            <w:r>
              <w:rPr>
                <w:highlight w:val="none"/>
              </w:rPr>
            </w:r>
            <w:r/>
          </w:p>
        </w:tc>
        <w:tc>
          <w:tcPr>
            <w:tcW w:w="6908" w:type="dxa"/>
            <w:vAlign w:val="center"/>
            <w:textDirection w:val="lrTb"/>
            <w:noWrap w:val="false"/>
          </w:tcPr>
          <w:p>
            <w:pPr>
              <w:pStyle w:val="879"/>
              <w:spacing w:line="360" w:lineRule="auto"/>
              <w:rPr>
                <w:rFonts w:ascii="宋体" w:hAnsi="宋体"/>
                <w:color w:val="000000"/>
                <w:sz w:val="24"/>
                <w:highlight w:val="none"/>
              </w:rPr>
            </w:pPr>
            <w:r>
              <w:rPr>
                <w:rFonts w:hint="eastAsia" w:ascii="宋体" w:hAnsi="宋体"/>
                <w:color w:val="000000"/>
                <w:sz w:val="24"/>
                <w:szCs w:val="22"/>
                <w:highlight w:val="none"/>
              </w:rPr>
              <w:t xml:space="preserve">截止时间：2025年12月16日</w:t>
            </w:r>
            <w:r>
              <w:rPr>
                <w:rFonts w:hint="eastAsia" w:ascii="宋体" w:hAnsi="宋体"/>
                <w:color w:val="000000"/>
                <w:sz w:val="24"/>
                <w:highlight w:val="none"/>
                <w:lang w:val="en-US" w:eastAsia="zh-CN"/>
              </w:rPr>
              <w:t xml:space="preserve">09</w:t>
            </w:r>
            <w:r>
              <w:rPr>
                <w:rFonts w:hint="eastAsia" w:ascii="宋体" w:hAnsi="宋体"/>
                <w:color w:val="000000"/>
                <w:sz w:val="24"/>
                <w:highlight w:val="none"/>
              </w:rPr>
              <w:t xml:space="preserve">:30（北京时间）</w:t>
            </w:r>
            <w:r>
              <w:rPr>
                <w:highlight w:val="none"/>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磋商时间：2025年12月16日</w:t>
            </w:r>
            <w:r>
              <w:rPr>
                <w:rFonts w:hint="eastAsia" w:ascii="宋体" w:hAnsi="宋体"/>
                <w:color w:val="000000"/>
                <w:sz w:val="24"/>
                <w:highlight w:val="none"/>
                <w:lang w:val="en-US" w:eastAsia="zh-CN"/>
              </w:rPr>
              <w:t xml:space="preserve">09</w:t>
            </w:r>
            <w:r>
              <w:rPr>
                <w:rFonts w:hint="eastAsia" w:ascii="宋体" w:hAnsi="宋体"/>
                <w:color w:val="000000"/>
                <w:sz w:val="24"/>
                <w:highlight w:val="none"/>
              </w:rPr>
              <w:t xml:space="preserve">:30（北京时间）</w:t>
            </w:r>
            <w:r>
              <w:rPr>
                <w:highlight w:val="none"/>
              </w:rPr>
            </w:r>
            <w:r/>
          </w:p>
          <w:p>
            <w:pPr>
              <w:pStyle w:val="879"/>
              <w:spacing w:line="400" w:lineRule="exact"/>
              <w:rPr>
                <w:rFonts w:ascii="宋体" w:hAnsi="宋体" w:cs="宋体"/>
                <w:b/>
                <w:color w:val="000000"/>
                <w:sz w:val="24"/>
                <w:highlight w:val="none"/>
              </w:rPr>
            </w:pPr>
            <w:r>
              <w:rPr>
                <w:rFonts w:hint="eastAsia" w:ascii="宋体" w:hAnsi="宋体"/>
                <w:color w:val="000000"/>
                <w:sz w:val="24"/>
                <w:szCs w:val="22"/>
                <w:highlight w:val="none"/>
              </w:rPr>
              <w:t xml:space="preserve">磋商地点：“苏采云”政府采购交易系统网上开标大厅。</w:t>
            </w:r>
            <w:r>
              <w:rPr>
                <w:highlight w:val="none"/>
              </w:rPr>
            </w:r>
            <w:r/>
          </w:p>
        </w:tc>
      </w:tr>
      <w:tr>
        <w:trPr>
          <w:trHeight w:val="1365"/>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磋商时间</w:t>
            </w:r>
            <w:r>
              <w:rPr>
                <w:highlight w:val="none"/>
              </w:rPr>
            </w:r>
            <w:r/>
          </w:p>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地点</w:t>
            </w:r>
            <w:r>
              <w:rPr>
                <w:highlight w:val="none"/>
              </w:rPr>
            </w:r>
            <w:r/>
          </w:p>
        </w:tc>
        <w:tc>
          <w:tcPr>
            <w:tcW w:w="6908" w:type="dxa"/>
            <w:vAlign w:val="center"/>
            <w:textDirection w:val="lrTb"/>
            <w:noWrap w:val="false"/>
          </w:tcPr>
          <w:p>
            <w:pPr>
              <w:pStyle w:val="879"/>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2025年12月16日</w:t>
            </w:r>
            <w:r>
              <w:rPr>
                <w:rFonts w:hint="eastAsia" w:ascii="宋体" w:hAnsi="宋体" w:cs="宋体"/>
                <w:color w:val="000000"/>
                <w:sz w:val="24"/>
                <w:highlight w:val="none"/>
                <w:lang w:val="en-US" w:eastAsia="zh-CN"/>
              </w:rPr>
              <w:t xml:space="preserve">09：30</w:t>
            </w:r>
            <w:r>
              <w:rPr>
                <w:rFonts w:hint="eastAsia" w:ascii="宋体" w:hAnsi="宋体" w:cs="宋体"/>
                <w:color w:val="000000"/>
                <w:sz w:val="24"/>
                <w:highlight w:val="none"/>
              </w:rPr>
              <w:t xml:space="preserve">（北京时间）</w:t>
            </w:r>
            <w:r>
              <w:rPr>
                <w:highlight w:val="none"/>
              </w:rPr>
            </w:r>
            <w:r/>
          </w:p>
          <w:p>
            <w:pPr>
              <w:pStyle w:val="879"/>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w:t>
            </w:r>
            <w:r>
              <w:rPr>
                <w:highlight w:val="none"/>
              </w:rPr>
            </w:r>
            <w:r/>
          </w:p>
          <w:p>
            <w:pPr>
              <w:pStyle w:val="879"/>
              <w:spacing w:line="400" w:lineRule="exact"/>
              <w:rPr>
                <w:rFonts w:ascii="宋体" w:hAnsi="宋体" w:cs="宋体"/>
                <w:b/>
                <w:color w:val="000000"/>
                <w:sz w:val="24"/>
                <w:highlight w:val="none"/>
              </w:rPr>
            </w:pPr>
            <w:r>
              <w:rPr>
                <w:rFonts w:hint="eastAsia" w:ascii="宋体" w:hAnsi="宋体"/>
                <w:b/>
                <w:bCs/>
                <w:color w:val="000000"/>
                <w:sz w:val="24"/>
                <w:szCs w:val="22"/>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highlight w:val="none"/>
              </w:rPr>
            </w:r>
            <w:r/>
          </w:p>
        </w:tc>
      </w:tr>
      <w:tr>
        <w:trPr>
          <w:trHeight w:val="481"/>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ascii="宋体" w:hAnsi="宋体" w:cs="宋体"/>
                <w:color w:val="000000"/>
                <w:sz w:val="24"/>
                <w:highlight w:val="none"/>
              </w:rPr>
              <w:t xml:space="preserve">7</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评审时间</w:t>
            </w:r>
            <w:r>
              <w:rPr>
                <w:highlight w:val="none"/>
              </w:rPr>
            </w:r>
            <w:r/>
          </w:p>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地点</w:t>
            </w:r>
            <w:r>
              <w:rPr>
                <w:highlight w:val="none"/>
              </w:rPr>
            </w:r>
            <w:r/>
          </w:p>
        </w:tc>
        <w:tc>
          <w:tcPr>
            <w:tcW w:w="6908" w:type="dxa"/>
            <w:vAlign w:val="center"/>
            <w:textDirection w:val="lrTb"/>
            <w:noWrap w:val="false"/>
          </w:tcPr>
          <w:p>
            <w:pPr>
              <w:pStyle w:val="879"/>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2025年12月16日</w:t>
            </w:r>
            <w:r>
              <w:rPr>
                <w:rFonts w:hint="eastAsia" w:ascii="宋体" w:hAnsi="宋体" w:cs="宋体"/>
                <w:color w:val="000000"/>
                <w:sz w:val="24"/>
                <w:highlight w:val="none"/>
                <w:lang w:val="en-US" w:eastAsia="zh-CN"/>
              </w:rPr>
              <w:t xml:space="preserve">09：30</w:t>
            </w:r>
            <w:r>
              <w:rPr>
                <w:rFonts w:hint="eastAsia" w:ascii="宋体" w:hAnsi="宋体" w:cs="宋体"/>
                <w:color w:val="000000"/>
                <w:sz w:val="24"/>
                <w:highlight w:val="none"/>
              </w:rPr>
              <w:t xml:space="preserve">（北京时间）</w:t>
            </w:r>
            <w:r>
              <w:rPr>
                <w:highlight w:val="none"/>
              </w:rPr>
            </w:r>
            <w:r/>
          </w:p>
          <w:p>
            <w:pPr>
              <w:pStyle w:val="879"/>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苏州市姑苏区平泷路251号城市生活广场西楼五楼</w:t>
            </w:r>
            <w:r>
              <w:rPr>
                <w:highlight w:val="none"/>
              </w:rPr>
            </w:r>
            <w:r/>
          </w:p>
        </w:tc>
      </w:tr>
      <w:tr>
        <w:trPr>
          <w:trHeight w:val="5350"/>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ascii="宋体" w:hAnsi="宋体" w:cs="宋体"/>
                <w:color w:val="000000"/>
                <w:sz w:val="24"/>
                <w:highlight w:val="none"/>
              </w:rPr>
              <w:t xml:space="preserve">8</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成交</w:t>
            </w:r>
            <w:r>
              <w:rPr>
                <w:highlight w:val="none"/>
              </w:rPr>
            </w:r>
            <w:r/>
          </w:p>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服务费</w:t>
            </w:r>
            <w:r>
              <w:rPr>
                <w:highlight w:val="none"/>
              </w:rPr>
            </w:r>
            <w:r/>
          </w:p>
        </w:tc>
        <w:tc>
          <w:tcPr>
            <w:tcW w:w="6908" w:type="dxa"/>
            <w:vAlign w:val="center"/>
            <w:textDirection w:val="lrTb"/>
            <w:noWrap w:val="false"/>
          </w:tcPr>
          <w:p>
            <w:pPr>
              <w:pStyle w:val="879"/>
              <w:ind w:firstLine="480"/>
              <w:spacing w:line="420" w:lineRule="exact"/>
              <w:rPr>
                <w:rFonts w:hint="eastAsia" w:ascii="宋体" w:hAnsi="宋体" w:cs="宋体"/>
                <w:color w:val="000000"/>
                <w:sz w:val="24"/>
                <w:highlight w:val="none"/>
              </w:rPr>
            </w:pPr>
            <w:r>
              <w:rPr>
                <w:rFonts w:hint="eastAsia" w:ascii="宋体" w:hAnsi="宋体"/>
                <w:color w:val="000000"/>
                <w:sz w:val="24"/>
                <w:highlight w:val="none"/>
              </w:rPr>
              <w:t xml:space="preserve">成交服务费：根据苏财购告【2017】23号文件的规定收取成交服务费。领取成交通知书时成交供应商向招标代理机构一次性付清。由成交供应商支付，按照采购预算100万元以内1.5%、100～500万元以1.1%、500~1000万元以0.8%，差额定率累进法计算并支付成交服务费。</w:t>
            </w:r>
            <w:r>
              <w:rPr>
                <w:rFonts w:hint="eastAsia" w:ascii="宋体" w:hAnsi="宋体" w:cs="宋体"/>
                <w:color w:val="000000"/>
                <w:sz w:val="24"/>
                <w:highlight w:val="none"/>
              </w:rPr>
              <w:t xml:space="preserve">单个项目收费不低于3000.00元。</w:t>
            </w:r>
            <w:r>
              <w:rPr>
                <w:highlight w:val="none"/>
              </w:rPr>
            </w:r>
            <w:r/>
          </w:p>
          <w:p>
            <w:pPr>
              <w:pStyle w:val="879"/>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说明：代理服务费以采购预算金额为基数依据，按以上规定的标准和差额定率累进法进行计算收取。例：如预算金额为150万元，则代理服务费＝100万元以下部分×1.5%＋（500万元－100万元以下部分）×1.1%。</w:t>
            </w:r>
            <w:r>
              <w:rPr>
                <w:highlight w:val="none"/>
              </w:rPr>
            </w:r>
            <w:r/>
          </w:p>
          <w:p>
            <w:pPr>
              <w:pStyle w:val="879"/>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本项目代理服务费为￥</w:t>
            </w:r>
            <w:r>
              <w:rPr>
                <w:rFonts w:hint="eastAsia" w:ascii="宋体" w:hAnsi="宋体"/>
                <w:color w:val="000000"/>
                <w:sz w:val="24"/>
                <w:highlight w:val="none"/>
                <w:lang w:val="en-US" w:eastAsia="zh-CN"/>
              </w:rPr>
              <w:t xml:space="preserve">15088</w:t>
            </w:r>
            <w:r>
              <w:rPr>
                <w:rFonts w:hint="eastAsia" w:ascii="宋体" w:hAnsi="宋体"/>
                <w:color w:val="000000"/>
                <w:sz w:val="24"/>
                <w:highlight w:val="none"/>
              </w:rPr>
              <w:t xml:space="preserve">元；由成交单位支付，在领取成交通知书时向采购代理机构一次性付清。</w:t>
            </w:r>
            <w:r>
              <w:rPr>
                <w:highlight w:val="none"/>
              </w:rPr>
            </w:r>
            <w:r/>
          </w:p>
          <w:p>
            <w:pPr>
              <w:pStyle w:val="879"/>
              <w:spacing w:line="400" w:lineRule="exact"/>
              <w:widowControl/>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76"/>
        </w:trPr>
        <w:tc>
          <w:tcPr>
            <w:tcW w:w="766" w:type="dxa"/>
            <w:vAlign w:val="center"/>
            <w:textDirection w:val="lrTb"/>
            <w:noWrap w:val="false"/>
          </w:tcPr>
          <w:p>
            <w:pPr>
              <w:pStyle w:val="879"/>
              <w:jc w:val="center"/>
              <w:spacing w:line="400" w:lineRule="exact"/>
              <w:rPr>
                <w:rFonts w:ascii="宋体" w:hAnsi="宋体" w:cs="宋体"/>
                <w:color w:val="000000"/>
                <w:sz w:val="24"/>
                <w:highlight w:val="none"/>
              </w:rPr>
            </w:pPr>
            <w:r>
              <w:rPr>
                <w:rFonts w:ascii="宋体" w:hAnsi="宋体" w:cs="宋体"/>
                <w:color w:val="000000"/>
                <w:sz w:val="24"/>
                <w:highlight w:val="none"/>
              </w:rPr>
              <w:t xml:space="preserve">9</w:t>
            </w:r>
            <w:r>
              <w:rPr>
                <w:highlight w:val="none"/>
              </w:rPr>
            </w:r>
            <w:r/>
          </w:p>
        </w:tc>
        <w:tc>
          <w:tcPr>
            <w:tcW w:w="1522" w:type="dxa"/>
            <w:vAlign w:val="center"/>
            <w:textDirection w:val="lrTb"/>
            <w:noWrap w:val="false"/>
          </w:tcPr>
          <w:p>
            <w:pPr>
              <w:pStyle w:val="879"/>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监督管理</w:t>
            </w:r>
            <w:r>
              <w:rPr>
                <w:highlight w:val="none"/>
              </w:rPr>
            </w:r>
            <w:r/>
          </w:p>
        </w:tc>
        <w:tc>
          <w:tcPr>
            <w:tcW w:w="6908" w:type="dxa"/>
            <w:vAlign w:val="center"/>
            <w:textDirection w:val="lrTb"/>
            <w:noWrap w:val="false"/>
          </w:tcPr>
          <w:p>
            <w:pPr>
              <w:pStyle w:val="879"/>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苏州太湖新城吴中管理委员会党政办公室监管电话：（0512）65169307</w:t>
            </w:r>
            <w:r>
              <w:rPr>
                <w:highlight w:val="none"/>
              </w:rPr>
            </w:r>
            <w:r/>
          </w:p>
        </w:tc>
      </w:tr>
    </w:tbl>
    <w:p>
      <w:pPr>
        <w:pStyle w:val="879"/>
        <w:jc w:val="center"/>
        <w:tabs>
          <w:tab w:val="left" w:pos="315" w:leader="none"/>
          <w:tab w:val="center" w:pos="4153" w:leader="none"/>
        </w:tabs>
        <w:rPr>
          <w:rFonts w:ascii="宋体" w:hAnsi="宋体"/>
          <w:highlight w:val="none"/>
        </w:rPr>
      </w:pPr>
      <w:r>
        <w:rPr>
          <w:rFonts w:ascii="宋体" w:hAnsi="宋体"/>
          <w:highlight w:val="none"/>
        </w:rPr>
      </w:r>
      <w:r>
        <w:rPr>
          <w:highlight w:val="none"/>
        </w:rPr>
      </w:r>
      <w:r/>
    </w:p>
    <w:p>
      <w:pPr>
        <w:pStyle w:val="879"/>
        <w:jc w:val="center"/>
        <w:tabs>
          <w:tab w:val="left" w:pos="315" w:leader="none"/>
          <w:tab w:val="center" w:pos="4153" w:leader="none"/>
        </w:tabs>
        <w:rPr>
          <w:rFonts w:ascii="宋体" w:hAnsi="宋体"/>
          <w:highlight w:val="none"/>
        </w:rPr>
      </w:pPr>
      <w:r>
        <w:rPr>
          <w:rFonts w:ascii="宋体" w:hAnsi="宋体"/>
          <w:highlight w:val="none"/>
        </w:rPr>
      </w:r>
      <w:r>
        <w:rPr>
          <w:highlight w:val="none"/>
        </w:rPr>
      </w:r>
      <w:r/>
    </w:p>
    <w:p>
      <w:pPr>
        <w:pStyle w:val="879"/>
        <w:jc w:val="center"/>
        <w:tabs>
          <w:tab w:val="left" w:pos="315" w:leader="none"/>
          <w:tab w:val="center" w:pos="4153" w:leader="none"/>
        </w:tabs>
        <w:rPr>
          <w:rFonts w:hint="eastAsia" w:ascii="宋体" w:hAnsi="宋体"/>
          <w:highlight w:val="none"/>
        </w:rPr>
      </w:pPr>
      <w:r>
        <w:rPr>
          <w:rFonts w:ascii="宋体" w:hAnsi="宋体"/>
          <w:highlight w:val="none"/>
        </w:rPr>
        <w:br w:type="page" w:clear="all"/>
      </w:r>
      <w:r>
        <w:rPr>
          <w:highlight w:val="none"/>
        </w:rPr>
      </w:r>
      <w:r/>
    </w:p>
    <w:p>
      <w:pPr>
        <w:pStyle w:val="879"/>
        <w:jc w:val="center"/>
        <w:tabs>
          <w:tab w:val="left" w:pos="315" w:leader="none"/>
          <w:tab w:val="center" w:pos="4153" w:leader="none"/>
        </w:tabs>
        <w:rPr>
          <w:rFonts w:hint="eastAsia" w:ascii="黑体" w:hAnsi="宋体" w:eastAsia="黑体" w:cs="宋体"/>
          <w:b/>
          <w:sz w:val="44"/>
          <w:highlight w:val="none"/>
        </w:rPr>
      </w:pPr>
      <w:r>
        <w:rPr>
          <w:rFonts w:hint="eastAsia" w:ascii="黑体" w:hAnsi="宋体" w:eastAsia="黑体" w:cs="宋体"/>
          <w:b/>
          <w:sz w:val="44"/>
          <w:highlight w:val="none"/>
        </w:rPr>
        <w:t xml:space="preserve">总目录</w:t>
      </w:r>
      <w:r>
        <w:rPr>
          <w:highlight w:val="none"/>
        </w:rPr>
      </w:r>
      <w:r/>
    </w:p>
    <w:p>
      <w:pPr>
        <w:pStyle w:val="879"/>
        <w:jc w:val="center"/>
        <w:tabs>
          <w:tab w:val="left" w:pos="315" w:leader="none"/>
          <w:tab w:val="center" w:pos="4153" w:leader="none"/>
        </w:tabs>
        <w:rPr>
          <w:rFonts w:hint="eastAsia" w:ascii="宋体" w:hAnsi="宋体" w:cs="宋体"/>
          <w:b/>
          <w:sz w:val="24"/>
          <w:highlight w:val="none"/>
        </w:rPr>
      </w:pPr>
      <w:r>
        <w:rPr>
          <w:rFonts w:hint="eastAsia" w:ascii="宋体" w:hAnsi="宋体" w:cs="宋体"/>
          <w:b/>
          <w:sz w:val="24"/>
          <w:highlight w:val="none"/>
        </w:rPr>
      </w:r>
      <w:r>
        <w:rPr>
          <w:highlight w:val="none"/>
        </w:rPr>
      </w:r>
      <w:r/>
    </w:p>
    <w:p>
      <w:pPr>
        <w:pStyle w:val="879"/>
        <w:tabs>
          <w:tab w:val="left" w:pos="315" w:leader="none"/>
          <w:tab w:val="center" w:pos="4153" w:leader="none"/>
        </w:tabs>
        <w:rPr>
          <w:rFonts w:eastAsia="黑体"/>
          <w:sz w:val="24"/>
          <w:highlight w:val="none"/>
        </w:rPr>
      </w:pPr>
      <w:r>
        <w:rPr>
          <w:rFonts w:eastAsia="黑体"/>
          <w:sz w:val="24"/>
          <w:highlight w:val="none"/>
        </w:rPr>
      </w:r>
      <w:r>
        <w:rPr>
          <w:highlight w:val="none"/>
        </w:rPr>
      </w:r>
      <w:r/>
    </w:p>
    <w:p>
      <w:pPr>
        <w:pStyle w:val="879"/>
        <w:tabs>
          <w:tab w:val="left" w:pos="315" w:leader="none"/>
          <w:tab w:val="center" w:pos="4153" w:leader="none"/>
        </w:tabs>
        <w:rPr>
          <w:rFonts w:eastAsia="黑体"/>
          <w:b/>
          <w:sz w:val="24"/>
          <w:highlight w:val="none"/>
        </w:rPr>
      </w:pPr>
      <w:r>
        <w:rPr>
          <w:rFonts w:eastAsia="黑体"/>
          <w:b/>
          <w:sz w:val="24"/>
          <w:highlight w:val="none"/>
        </w:rPr>
      </w:r>
      <w:r>
        <w:rPr>
          <w:highlight w:val="none"/>
        </w:rPr>
      </w:r>
      <w:r/>
    </w:p>
    <w:p>
      <w:pPr>
        <w:pStyle w:val="879"/>
        <w:spacing w:line="360" w:lineRule="auto"/>
        <w:tabs>
          <w:tab w:val="left" w:pos="315" w:leader="none"/>
          <w:tab w:val="center" w:pos="4153" w:leader="none"/>
        </w:tabs>
        <w:rPr>
          <w:rFonts w:eastAsia="黑体"/>
          <w:b/>
          <w:sz w:val="24"/>
          <w:highlight w:val="none"/>
        </w:rPr>
      </w:pPr>
      <w:r>
        <w:rPr>
          <w:rFonts w:eastAsia="黑体"/>
          <w:b/>
          <w:sz w:val="24"/>
          <w:highlight w:val="none"/>
        </w:rPr>
      </w:r>
      <w:r>
        <w:rPr>
          <w:highlight w:val="none"/>
        </w:rPr>
      </w:r>
      <w:r/>
    </w:p>
    <w:p>
      <w:pPr>
        <w:pStyle w:val="1193"/>
        <w:spacing w:line="360" w:lineRule="auto"/>
        <w:tabs>
          <w:tab w:val="right" w:pos="9880" w:leader="dot"/>
        </w:tabs>
        <w:rPr>
          <w:sz w:val="32"/>
          <w:szCs w:val="22"/>
          <w:highlight w:val="none"/>
        </w:rPr>
      </w:pPr>
      <w:r>
        <w:rPr>
          <w:rFonts w:eastAsia="黑体"/>
          <w:b/>
          <w:sz w:val="36"/>
          <w:highlight w:val="none"/>
        </w:rPr>
        <w:fldChar w:fldCharType="begin"/>
      </w:r>
      <w:r>
        <w:rPr>
          <w:rFonts w:eastAsia="黑体"/>
          <w:b/>
          <w:sz w:val="36"/>
          <w:highlight w:val="none"/>
        </w:rPr>
        <w:instrText xml:space="preserve"> TOC \o "1-1" \h \z \u </w:instrText>
      </w:r>
      <w:r>
        <w:rPr>
          <w:rFonts w:eastAsia="黑体"/>
          <w:b/>
          <w:sz w:val="36"/>
          <w:highlight w:val="none"/>
        </w:rPr>
        <w:fldChar w:fldCharType="separate"/>
      </w:r>
      <w:r>
        <w:rPr>
          <w:rFonts w:eastAsia="黑体"/>
          <w:sz w:val="32"/>
          <w:szCs w:val="22"/>
          <w:highlight w:val="none"/>
        </w:rPr>
        <w:fldChar w:fldCharType="begin"/>
      </w:r>
      <w:r>
        <w:rPr>
          <w:rFonts w:eastAsia="黑体"/>
          <w:sz w:val="32"/>
          <w:szCs w:val="22"/>
          <w:highlight w:val="none"/>
        </w:rPr>
        <w:instrText xml:space="preserve"> HYPERLINK \l _Toc2334 </w:instrText>
      </w:r>
      <w:r>
        <w:rPr>
          <w:rFonts w:eastAsia="黑体"/>
          <w:sz w:val="32"/>
          <w:szCs w:val="22"/>
          <w:highlight w:val="none"/>
        </w:rPr>
        <w:fldChar w:fldCharType="separate"/>
      </w:r>
      <w:r>
        <w:rPr>
          <w:rFonts w:hint="eastAsia" w:ascii="黑体" w:hAnsi="宋体" w:eastAsia="黑体"/>
          <w:sz w:val="32"/>
          <w:highlight w:val="none"/>
        </w:rPr>
        <w:t xml:space="preserve">第一章  竞争性磋商公告</w:t>
      </w:r>
      <w:r>
        <w:rPr>
          <w:sz w:val="32"/>
          <w:szCs w:val="22"/>
          <w:highlight w:val="none"/>
        </w:rPr>
        <w:tab/>
      </w:r>
      <w:r>
        <w:rPr>
          <w:sz w:val="32"/>
          <w:szCs w:val="22"/>
          <w:highlight w:val="none"/>
        </w:rPr>
        <w:fldChar w:fldCharType="begin"/>
      </w:r>
      <w:r>
        <w:rPr>
          <w:sz w:val="32"/>
          <w:szCs w:val="22"/>
          <w:highlight w:val="none"/>
        </w:rPr>
        <w:instrText xml:space="preserve"> PAGEREF _Toc2334 \h </w:instrText>
      </w:r>
      <w:r>
        <w:rPr>
          <w:sz w:val="32"/>
          <w:szCs w:val="22"/>
          <w:highlight w:val="none"/>
        </w:rPr>
        <w:fldChar w:fldCharType="separate"/>
      </w:r>
      <w:r>
        <w:rPr>
          <w:sz w:val="32"/>
          <w:szCs w:val="22"/>
          <w:highlight w:val="none"/>
        </w:rPr>
        <w:t xml:space="preserve">5</w:t>
      </w:r>
      <w:r>
        <w:rPr>
          <w:sz w:val="32"/>
          <w:szCs w:val="22"/>
          <w:highlight w:val="none"/>
        </w:rPr>
        <w:fldChar w:fldCharType="end"/>
      </w:r>
      <w:r>
        <w:rPr>
          <w:rFonts w:eastAsia="黑体"/>
          <w:sz w:val="32"/>
          <w:szCs w:val="22"/>
          <w:highlight w:val="none"/>
        </w:rPr>
        <w:fldChar w:fldCharType="end"/>
      </w:r>
      <w:r>
        <w:rPr>
          <w:highlight w:val="none"/>
        </w:rPr>
      </w:r>
      <w:r/>
    </w:p>
    <w:p>
      <w:pPr>
        <w:pStyle w:val="1193"/>
        <w:spacing w:line="360" w:lineRule="auto"/>
        <w:tabs>
          <w:tab w:val="right" w:pos="9880" w:leader="dot"/>
        </w:tabs>
        <w:rPr>
          <w:sz w:val="32"/>
          <w:szCs w:val="22"/>
          <w:highlight w:val="none"/>
        </w:rPr>
      </w:pPr>
      <w:r>
        <w:rPr>
          <w:rFonts w:eastAsia="黑体"/>
          <w:sz w:val="32"/>
          <w:szCs w:val="22"/>
          <w:highlight w:val="none"/>
        </w:rPr>
        <w:fldChar w:fldCharType="begin"/>
      </w:r>
      <w:r>
        <w:rPr>
          <w:rFonts w:eastAsia="黑体"/>
          <w:sz w:val="32"/>
          <w:szCs w:val="22"/>
          <w:highlight w:val="none"/>
        </w:rPr>
        <w:instrText xml:space="preserve"> HYPERLINK \l _Toc10577 </w:instrText>
      </w:r>
      <w:r>
        <w:rPr>
          <w:rFonts w:eastAsia="黑体"/>
          <w:sz w:val="32"/>
          <w:szCs w:val="22"/>
          <w:highlight w:val="none"/>
        </w:rPr>
        <w:fldChar w:fldCharType="separate"/>
      </w:r>
      <w:r>
        <w:rPr>
          <w:rFonts w:hint="eastAsia" w:ascii="黑体" w:hAnsi="宋体" w:eastAsia="黑体"/>
          <w:sz w:val="32"/>
          <w:highlight w:val="none"/>
        </w:rPr>
        <w:t xml:space="preserve">第二章</w:t>
      </w:r>
      <w:r>
        <w:rPr>
          <w:rFonts w:ascii="黑体" w:hAnsi="宋体" w:eastAsia="黑体"/>
          <w:sz w:val="32"/>
          <w:highlight w:val="none"/>
        </w:rPr>
        <w:t xml:space="preserve"> </w:t>
      </w:r>
      <w:r>
        <w:rPr>
          <w:rFonts w:hint="eastAsia" w:ascii="黑体" w:hAnsi="宋体" w:eastAsia="黑体"/>
          <w:sz w:val="32"/>
          <w:highlight w:val="none"/>
        </w:rPr>
        <w:t xml:space="preserve"> 供应商须知</w:t>
      </w:r>
      <w:r>
        <w:rPr>
          <w:sz w:val="32"/>
          <w:szCs w:val="22"/>
          <w:highlight w:val="none"/>
        </w:rPr>
        <w:tab/>
      </w:r>
      <w:r>
        <w:rPr>
          <w:sz w:val="32"/>
          <w:szCs w:val="22"/>
          <w:highlight w:val="none"/>
        </w:rPr>
        <w:fldChar w:fldCharType="begin"/>
      </w:r>
      <w:r>
        <w:rPr>
          <w:sz w:val="32"/>
          <w:szCs w:val="22"/>
          <w:highlight w:val="none"/>
        </w:rPr>
        <w:instrText xml:space="preserve"> PAGEREF _Toc10577 \h </w:instrText>
      </w:r>
      <w:r>
        <w:rPr>
          <w:sz w:val="32"/>
          <w:szCs w:val="22"/>
          <w:highlight w:val="none"/>
        </w:rPr>
        <w:fldChar w:fldCharType="separate"/>
      </w:r>
      <w:r>
        <w:rPr>
          <w:sz w:val="32"/>
          <w:szCs w:val="22"/>
          <w:highlight w:val="none"/>
        </w:rPr>
        <w:t xml:space="preserve">9</w:t>
      </w:r>
      <w:r>
        <w:rPr>
          <w:sz w:val="32"/>
          <w:szCs w:val="22"/>
          <w:highlight w:val="none"/>
        </w:rPr>
        <w:fldChar w:fldCharType="end"/>
      </w:r>
      <w:r>
        <w:rPr>
          <w:rFonts w:eastAsia="黑体"/>
          <w:sz w:val="32"/>
          <w:szCs w:val="22"/>
          <w:highlight w:val="none"/>
        </w:rPr>
        <w:fldChar w:fldCharType="end"/>
      </w:r>
      <w:r>
        <w:rPr>
          <w:highlight w:val="none"/>
        </w:rPr>
      </w:r>
      <w:r/>
    </w:p>
    <w:p>
      <w:pPr>
        <w:pStyle w:val="1193"/>
        <w:spacing w:line="360" w:lineRule="auto"/>
        <w:tabs>
          <w:tab w:val="right" w:pos="9880" w:leader="dot"/>
        </w:tabs>
        <w:rPr>
          <w:sz w:val="32"/>
          <w:szCs w:val="22"/>
          <w:highlight w:val="none"/>
        </w:rPr>
      </w:pPr>
      <w:r>
        <w:rPr>
          <w:rFonts w:eastAsia="黑体"/>
          <w:sz w:val="32"/>
          <w:szCs w:val="22"/>
          <w:highlight w:val="none"/>
        </w:rPr>
        <w:fldChar w:fldCharType="begin"/>
      </w:r>
      <w:r>
        <w:rPr>
          <w:rFonts w:eastAsia="黑体"/>
          <w:sz w:val="32"/>
          <w:szCs w:val="22"/>
          <w:highlight w:val="none"/>
        </w:rPr>
        <w:instrText xml:space="preserve"> HYPERLINK \l _Toc10533 </w:instrText>
      </w:r>
      <w:r>
        <w:rPr>
          <w:rFonts w:eastAsia="黑体"/>
          <w:sz w:val="32"/>
          <w:szCs w:val="22"/>
          <w:highlight w:val="none"/>
        </w:rPr>
        <w:fldChar w:fldCharType="separate"/>
      </w:r>
      <w:r>
        <w:rPr>
          <w:rFonts w:hint="eastAsia" w:ascii="黑体" w:hAnsi="宋体" w:eastAsia="黑体"/>
          <w:sz w:val="32"/>
          <w:highlight w:val="none"/>
        </w:rPr>
        <w:t xml:space="preserve">第三章  采购需求</w:t>
      </w:r>
      <w:r>
        <w:rPr>
          <w:sz w:val="32"/>
          <w:szCs w:val="22"/>
          <w:highlight w:val="none"/>
        </w:rPr>
        <w:tab/>
      </w:r>
      <w:r>
        <w:rPr>
          <w:sz w:val="32"/>
          <w:szCs w:val="22"/>
          <w:highlight w:val="none"/>
        </w:rPr>
        <w:fldChar w:fldCharType="begin"/>
      </w:r>
      <w:r>
        <w:rPr>
          <w:sz w:val="32"/>
          <w:szCs w:val="22"/>
          <w:highlight w:val="none"/>
        </w:rPr>
        <w:instrText xml:space="preserve"> PAGEREF _Toc10533 \h </w:instrText>
      </w:r>
      <w:r>
        <w:rPr>
          <w:sz w:val="32"/>
          <w:szCs w:val="22"/>
          <w:highlight w:val="none"/>
        </w:rPr>
        <w:fldChar w:fldCharType="separate"/>
      </w:r>
      <w:r>
        <w:rPr>
          <w:sz w:val="32"/>
          <w:szCs w:val="22"/>
          <w:highlight w:val="none"/>
        </w:rPr>
        <w:t xml:space="preserve">20</w:t>
      </w:r>
      <w:r>
        <w:rPr>
          <w:sz w:val="32"/>
          <w:szCs w:val="22"/>
          <w:highlight w:val="none"/>
        </w:rPr>
        <w:fldChar w:fldCharType="end"/>
      </w:r>
      <w:r>
        <w:rPr>
          <w:rFonts w:eastAsia="黑体"/>
          <w:sz w:val="32"/>
          <w:szCs w:val="22"/>
          <w:highlight w:val="none"/>
        </w:rPr>
        <w:fldChar w:fldCharType="end"/>
      </w:r>
      <w:r>
        <w:rPr>
          <w:highlight w:val="none"/>
        </w:rPr>
      </w:r>
      <w:r/>
    </w:p>
    <w:p>
      <w:pPr>
        <w:pStyle w:val="1193"/>
        <w:spacing w:line="360" w:lineRule="auto"/>
        <w:tabs>
          <w:tab w:val="right" w:pos="9880" w:leader="dot"/>
        </w:tabs>
        <w:rPr>
          <w:sz w:val="32"/>
          <w:szCs w:val="22"/>
          <w:highlight w:val="none"/>
        </w:rPr>
      </w:pPr>
      <w:r>
        <w:rPr>
          <w:rFonts w:eastAsia="黑体"/>
          <w:sz w:val="32"/>
          <w:szCs w:val="22"/>
          <w:highlight w:val="none"/>
        </w:rPr>
        <w:fldChar w:fldCharType="begin"/>
      </w:r>
      <w:r>
        <w:rPr>
          <w:rFonts w:eastAsia="黑体"/>
          <w:sz w:val="32"/>
          <w:szCs w:val="22"/>
          <w:highlight w:val="none"/>
        </w:rPr>
        <w:instrText xml:space="preserve"> HYPERLINK \l _Toc25169 </w:instrText>
      </w:r>
      <w:r>
        <w:rPr>
          <w:rFonts w:eastAsia="黑体"/>
          <w:sz w:val="32"/>
          <w:szCs w:val="22"/>
          <w:highlight w:val="none"/>
        </w:rPr>
        <w:fldChar w:fldCharType="separate"/>
      </w:r>
      <w:r>
        <w:rPr>
          <w:rFonts w:hint="eastAsia" w:ascii="黑体" w:hAnsi="宋体" w:eastAsia="黑体"/>
          <w:sz w:val="32"/>
          <w:szCs w:val="22"/>
          <w:highlight w:val="none"/>
        </w:rPr>
        <w:t xml:space="preserve">第四章  合同主要条款</w:t>
      </w:r>
      <w:r>
        <w:rPr>
          <w:sz w:val="32"/>
          <w:szCs w:val="22"/>
          <w:highlight w:val="none"/>
        </w:rPr>
        <w:tab/>
      </w:r>
      <w:r>
        <w:rPr>
          <w:sz w:val="32"/>
          <w:szCs w:val="22"/>
          <w:highlight w:val="none"/>
        </w:rPr>
        <w:fldChar w:fldCharType="begin"/>
      </w:r>
      <w:r>
        <w:rPr>
          <w:sz w:val="32"/>
          <w:szCs w:val="22"/>
          <w:highlight w:val="none"/>
        </w:rPr>
        <w:instrText xml:space="preserve"> PAGEREF _Toc25169 \h </w:instrText>
      </w:r>
      <w:r>
        <w:rPr>
          <w:sz w:val="32"/>
          <w:szCs w:val="22"/>
          <w:highlight w:val="none"/>
        </w:rPr>
        <w:fldChar w:fldCharType="separate"/>
      </w:r>
      <w:r>
        <w:rPr>
          <w:sz w:val="32"/>
          <w:szCs w:val="22"/>
          <w:highlight w:val="none"/>
        </w:rPr>
        <w:t xml:space="preserve">31</w:t>
      </w:r>
      <w:r>
        <w:rPr>
          <w:sz w:val="32"/>
          <w:szCs w:val="22"/>
          <w:highlight w:val="none"/>
        </w:rPr>
        <w:fldChar w:fldCharType="end"/>
      </w:r>
      <w:r>
        <w:rPr>
          <w:rFonts w:eastAsia="黑体"/>
          <w:sz w:val="32"/>
          <w:szCs w:val="22"/>
          <w:highlight w:val="none"/>
        </w:rPr>
        <w:fldChar w:fldCharType="end"/>
      </w:r>
      <w:r>
        <w:rPr>
          <w:highlight w:val="none"/>
        </w:rPr>
      </w:r>
      <w:r/>
    </w:p>
    <w:p>
      <w:pPr>
        <w:pStyle w:val="1193"/>
        <w:spacing w:line="360" w:lineRule="auto"/>
        <w:tabs>
          <w:tab w:val="right" w:pos="9880" w:leader="dot"/>
        </w:tabs>
        <w:rPr>
          <w:sz w:val="32"/>
          <w:szCs w:val="22"/>
          <w:highlight w:val="none"/>
        </w:rPr>
      </w:pPr>
      <w:r>
        <w:rPr>
          <w:rFonts w:eastAsia="黑体"/>
          <w:sz w:val="32"/>
          <w:szCs w:val="22"/>
          <w:highlight w:val="none"/>
        </w:rPr>
        <w:fldChar w:fldCharType="begin"/>
      </w:r>
      <w:r>
        <w:rPr>
          <w:rFonts w:eastAsia="黑体"/>
          <w:sz w:val="32"/>
          <w:szCs w:val="22"/>
          <w:highlight w:val="none"/>
        </w:rPr>
        <w:instrText xml:space="preserve"> HYPERLINK \l _Toc16136 </w:instrText>
      </w:r>
      <w:r>
        <w:rPr>
          <w:rFonts w:eastAsia="黑体"/>
          <w:sz w:val="32"/>
          <w:szCs w:val="22"/>
          <w:highlight w:val="none"/>
        </w:rPr>
        <w:fldChar w:fldCharType="separate"/>
      </w:r>
      <w:r>
        <w:rPr>
          <w:rFonts w:hint="eastAsia" w:ascii="黑体" w:hAnsi="宋体" w:eastAsia="黑体"/>
          <w:sz w:val="32"/>
          <w:highlight w:val="none"/>
        </w:rPr>
        <w:t xml:space="preserve">第五章  评审办法</w:t>
      </w:r>
      <w:r>
        <w:rPr>
          <w:sz w:val="32"/>
          <w:szCs w:val="22"/>
          <w:highlight w:val="none"/>
        </w:rPr>
        <w:tab/>
      </w:r>
      <w:r>
        <w:rPr>
          <w:sz w:val="32"/>
          <w:szCs w:val="22"/>
          <w:highlight w:val="none"/>
        </w:rPr>
        <w:fldChar w:fldCharType="begin"/>
      </w:r>
      <w:r>
        <w:rPr>
          <w:sz w:val="32"/>
          <w:szCs w:val="22"/>
          <w:highlight w:val="none"/>
        </w:rPr>
        <w:instrText xml:space="preserve"> PAGEREF _Toc16136 \h </w:instrText>
      </w:r>
      <w:r>
        <w:rPr>
          <w:sz w:val="32"/>
          <w:szCs w:val="22"/>
          <w:highlight w:val="none"/>
        </w:rPr>
        <w:fldChar w:fldCharType="separate"/>
      </w:r>
      <w:r>
        <w:rPr>
          <w:sz w:val="32"/>
          <w:szCs w:val="22"/>
          <w:highlight w:val="none"/>
        </w:rPr>
        <w:t xml:space="preserve">48</w:t>
      </w:r>
      <w:r>
        <w:rPr>
          <w:sz w:val="32"/>
          <w:szCs w:val="22"/>
          <w:highlight w:val="none"/>
        </w:rPr>
        <w:fldChar w:fldCharType="end"/>
      </w:r>
      <w:r>
        <w:rPr>
          <w:rFonts w:eastAsia="黑体"/>
          <w:sz w:val="32"/>
          <w:szCs w:val="22"/>
          <w:highlight w:val="none"/>
        </w:rPr>
        <w:fldChar w:fldCharType="end"/>
      </w:r>
      <w:r>
        <w:rPr>
          <w:highlight w:val="none"/>
        </w:rPr>
      </w:r>
      <w:r/>
    </w:p>
    <w:p>
      <w:pPr>
        <w:pStyle w:val="1193"/>
        <w:spacing w:line="360" w:lineRule="auto"/>
        <w:tabs>
          <w:tab w:val="right" w:pos="9880" w:leader="dot"/>
        </w:tabs>
        <w:rPr>
          <w:sz w:val="32"/>
          <w:szCs w:val="22"/>
          <w:highlight w:val="none"/>
        </w:rPr>
      </w:pPr>
      <w:r>
        <w:rPr>
          <w:rFonts w:eastAsia="黑体"/>
          <w:sz w:val="32"/>
          <w:szCs w:val="22"/>
          <w:highlight w:val="none"/>
        </w:rPr>
        <w:fldChar w:fldCharType="begin"/>
      </w:r>
      <w:r>
        <w:rPr>
          <w:rFonts w:eastAsia="黑体"/>
          <w:sz w:val="32"/>
          <w:szCs w:val="22"/>
          <w:highlight w:val="none"/>
        </w:rPr>
        <w:instrText xml:space="preserve"> HYPERLINK \l _Toc14752 </w:instrText>
      </w:r>
      <w:r>
        <w:rPr>
          <w:rFonts w:eastAsia="黑体"/>
          <w:sz w:val="32"/>
          <w:szCs w:val="22"/>
          <w:highlight w:val="none"/>
        </w:rPr>
        <w:fldChar w:fldCharType="separate"/>
      </w:r>
      <w:r>
        <w:rPr>
          <w:rFonts w:hint="eastAsia" w:ascii="黑体" w:hAnsi="宋体" w:eastAsia="黑体"/>
          <w:sz w:val="32"/>
          <w:highlight w:val="none"/>
        </w:rPr>
        <w:t xml:space="preserve">第六章  磋商响应文件格式</w:t>
      </w:r>
      <w:r>
        <w:rPr>
          <w:sz w:val="32"/>
          <w:szCs w:val="22"/>
          <w:highlight w:val="none"/>
        </w:rPr>
        <w:tab/>
      </w:r>
      <w:r>
        <w:rPr>
          <w:sz w:val="32"/>
          <w:szCs w:val="22"/>
          <w:highlight w:val="none"/>
        </w:rPr>
        <w:fldChar w:fldCharType="begin"/>
      </w:r>
      <w:r>
        <w:rPr>
          <w:sz w:val="32"/>
          <w:szCs w:val="22"/>
          <w:highlight w:val="none"/>
        </w:rPr>
        <w:instrText xml:space="preserve"> PAGEREF _Toc14752 \h </w:instrText>
      </w:r>
      <w:r>
        <w:rPr>
          <w:sz w:val="32"/>
          <w:szCs w:val="22"/>
          <w:highlight w:val="none"/>
        </w:rPr>
        <w:fldChar w:fldCharType="separate"/>
      </w:r>
      <w:r>
        <w:rPr>
          <w:sz w:val="32"/>
          <w:szCs w:val="22"/>
          <w:highlight w:val="none"/>
        </w:rPr>
        <w:t xml:space="preserve">52</w:t>
      </w:r>
      <w:r>
        <w:rPr>
          <w:sz w:val="32"/>
          <w:szCs w:val="22"/>
          <w:highlight w:val="none"/>
        </w:rPr>
        <w:fldChar w:fldCharType="end"/>
      </w:r>
      <w:r>
        <w:rPr>
          <w:rFonts w:eastAsia="黑体"/>
          <w:sz w:val="32"/>
          <w:szCs w:val="22"/>
          <w:highlight w:val="none"/>
        </w:rPr>
        <w:fldChar w:fldCharType="end"/>
      </w:r>
      <w:r>
        <w:rPr>
          <w:highlight w:val="none"/>
        </w:rPr>
      </w:r>
      <w:r/>
    </w:p>
    <w:p>
      <w:pPr>
        <w:pStyle w:val="1193"/>
        <w:spacing w:line="360" w:lineRule="auto"/>
        <w:tabs>
          <w:tab w:val="right" w:pos="8312" w:leader="dot"/>
        </w:tabs>
        <w:rPr>
          <w:highlight w:val="none"/>
        </w:rPr>
      </w:pPr>
      <w:r>
        <w:rPr>
          <w:highlight w:val="none"/>
        </w:rPr>
      </w:r>
      <w:r>
        <w:rPr>
          <w:highlight w:val="none"/>
        </w:rPr>
      </w:r>
      <w:r/>
    </w:p>
    <w:p>
      <w:pPr>
        <w:pStyle w:val="879"/>
        <w:spacing w:line="360" w:lineRule="auto"/>
        <w:tabs>
          <w:tab w:val="left" w:pos="315" w:leader="none"/>
          <w:tab w:val="center" w:pos="4153" w:leader="none"/>
        </w:tabs>
        <w:rPr>
          <w:rFonts w:eastAsia="黑体"/>
          <w:b/>
          <w:sz w:val="24"/>
          <w:highlight w:val="none"/>
        </w:rPr>
      </w:pPr>
      <w:r>
        <w:rPr>
          <w:rFonts w:eastAsia="黑体"/>
          <w:highlight w:val="none"/>
        </w:rPr>
        <w:fldChar w:fldCharType="end"/>
      </w:r>
      <w:r>
        <w:rPr>
          <w:highlight w:val="none"/>
        </w:rPr>
      </w:r>
      <w:r/>
    </w:p>
    <w:p>
      <w:pPr>
        <w:pStyle w:val="879"/>
        <w:spacing w:line="360" w:lineRule="auto"/>
        <w:tabs>
          <w:tab w:val="left" w:pos="315" w:leader="none"/>
          <w:tab w:val="center" w:pos="4153" w:leader="none"/>
        </w:tabs>
        <w:rPr>
          <w:rFonts w:eastAsia="黑体"/>
          <w:b/>
          <w:sz w:val="24"/>
          <w:highlight w:val="none"/>
        </w:rPr>
      </w:pPr>
      <w:r>
        <w:rPr>
          <w:rFonts w:eastAsia="黑体"/>
          <w:b/>
          <w:sz w:val="24"/>
          <w:highlight w:val="none"/>
        </w:rPr>
      </w:r>
      <w:r>
        <w:rPr>
          <w:highlight w:val="none"/>
        </w:rPr>
      </w:r>
      <w:r/>
    </w:p>
    <w:p>
      <w:pPr>
        <w:pStyle w:val="879"/>
        <w:tabs>
          <w:tab w:val="left" w:pos="315" w:leader="none"/>
          <w:tab w:val="center" w:pos="4153" w:leader="none"/>
        </w:tabs>
        <w:rPr>
          <w:rFonts w:eastAsia="黑体"/>
          <w:b/>
          <w:sz w:val="24"/>
          <w:highlight w:val="none"/>
        </w:rPr>
      </w:pPr>
      <w:r>
        <w:rPr>
          <w:rFonts w:eastAsia="黑体"/>
          <w:b/>
          <w:sz w:val="24"/>
          <w:highlight w:val="none"/>
        </w:rPr>
      </w:r>
      <w:r>
        <w:rPr>
          <w:highlight w:val="none"/>
        </w:rPr>
      </w:r>
      <w:r/>
    </w:p>
    <w:p>
      <w:pPr>
        <w:pStyle w:val="879"/>
        <w:tabs>
          <w:tab w:val="left" w:pos="315" w:leader="none"/>
          <w:tab w:val="center" w:pos="4153" w:leader="none"/>
        </w:tabs>
        <w:rPr>
          <w:rFonts w:eastAsia="黑体"/>
          <w:b/>
          <w:sz w:val="24"/>
          <w:highlight w:val="none"/>
        </w:rPr>
      </w:pPr>
      <w:r>
        <w:rPr>
          <w:rFonts w:eastAsia="黑体"/>
          <w:b/>
          <w:sz w:val="24"/>
          <w:highlight w:val="none"/>
        </w:rPr>
        <w:br w:type="page" w:clear="all"/>
      </w:r>
      <w:r>
        <w:rPr>
          <w:highlight w:val="none"/>
        </w:rPr>
      </w:r>
      <w:r/>
    </w:p>
    <w:p>
      <w:pPr>
        <w:pStyle w:val="879"/>
        <w:tabs>
          <w:tab w:val="left" w:pos="315" w:leader="none"/>
          <w:tab w:val="center" w:pos="4153" w:leader="none"/>
        </w:tabs>
        <w:rPr>
          <w:rFonts w:eastAsia="黑体"/>
          <w:b/>
          <w:sz w:val="24"/>
          <w:highlight w:val="none"/>
        </w:rPr>
      </w:pPr>
      <w:r>
        <w:rPr>
          <w:rFonts w:eastAsia="黑体"/>
          <w:b/>
          <w:sz w:val="24"/>
          <w:highlight w:val="none"/>
        </w:rPr>
      </w:r>
      <w:r>
        <w:rPr>
          <w:highlight w:val="none"/>
        </w:rPr>
      </w:r>
      <w:r/>
    </w:p>
    <w:p>
      <w:pPr>
        <w:pStyle w:val="1164"/>
        <w:jc w:val="center"/>
        <w:rPr>
          <w:rFonts w:ascii="黑体" w:hAnsi="宋体" w:eastAsia="黑体"/>
          <w:szCs w:val="16"/>
          <w:highlight w:val="none"/>
        </w:rPr>
      </w:pPr>
      <w:r>
        <w:rPr>
          <w:highlight w:val="none"/>
        </w:rPr>
      </w:r>
      <w:bookmarkStart w:id="0" w:name="_Toc474491763"/>
      <w:r>
        <w:rPr>
          <w:highlight w:val="none"/>
        </w:rPr>
      </w:r>
      <w:bookmarkStart w:id="1" w:name="_Toc2334"/>
      <w:r>
        <w:rPr>
          <w:rFonts w:hint="eastAsia" w:ascii="黑体" w:hAnsi="宋体" w:eastAsia="黑体"/>
          <w:szCs w:val="16"/>
          <w:highlight w:val="none"/>
        </w:rPr>
        <w:t xml:space="preserve">第一章  </w:t>
      </w:r>
      <w:bookmarkEnd w:id="0"/>
      <w:r>
        <w:rPr>
          <w:rFonts w:hint="eastAsia" w:ascii="黑体" w:hAnsi="宋体" w:eastAsia="黑体"/>
          <w:szCs w:val="16"/>
          <w:highlight w:val="none"/>
        </w:rPr>
        <w:t xml:space="preserve">竞争性磋商公告</w:t>
      </w:r>
      <w:bookmarkEnd w:id="1"/>
      <w:r>
        <w:rPr>
          <w:highlight w:val="none"/>
        </w:rPr>
      </w:r>
      <w:r/>
    </w:p>
    <w:tbl>
      <w:tblPr>
        <w:tblW w:w="5000" w:type="pct"/>
        <w:jc w:val="center"/>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0"/>
      </w:tblGrid>
      <w:tr>
        <w:trPr/>
        <w:tc>
          <w:tcPr>
            <w:tcW w:w="5000" w:type="dxa"/>
            <w:vAlign w:val="top"/>
            <w:textDirection w:val="lrTb"/>
            <w:noWrap w:val="false"/>
          </w:tcPr>
          <w:p>
            <w:pPr>
              <w:pStyle w:val="879"/>
              <w:jc w:val="left"/>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项目概况</w:t>
            </w:r>
            <w:r>
              <w:rPr>
                <w:highlight w:val="none"/>
              </w:rPr>
            </w:r>
            <w:r/>
          </w:p>
          <w:p>
            <w:pPr>
              <w:pStyle w:val="879"/>
              <w:ind w:firstLine="480"/>
              <w:jc w:val="left"/>
              <w:spacing w:line="360" w:lineRule="auto"/>
              <w:rPr>
                <w:rFonts w:ascii="宋体" w:hAnsi="宋体"/>
                <w:color w:val="000000"/>
                <w:sz w:val="24"/>
                <w:highlight w:val="none"/>
              </w:rPr>
            </w:pPr>
            <w:r>
              <w:rPr>
                <w:rFonts w:hint="eastAsia" w:ascii="宋体" w:hAnsi="宋体" w:cs="宋体"/>
                <w:color w:val="000000"/>
                <w:sz w:val="24"/>
                <w:highlight w:val="none"/>
                <w:u w:val="single"/>
                <w:lang w:eastAsia="zh-CN"/>
              </w:rPr>
              <w:t xml:space="preserve">2026年太湖街道食堂食材配送项目</w:t>
            </w:r>
            <w:r>
              <w:rPr>
                <w:rFonts w:hint="eastAsia" w:ascii="宋体" w:hAnsi="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“苏采云”政府采购交易系统（以下简称“苏采云系统”）</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2025年12月16日</w:t>
            </w:r>
            <w:r>
              <w:rPr>
                <w:rFonts w:hint="eastAsia" w:ascii="宋体" w:hAnsi="宋体" w:cs="宋体"/>
                <w:color w:val="000000"/>
                <w:sz w:val="24"/>
                <w:highlight w:val="none"/>
                <w:u w:val="single"/>
              </w:rPr>
              <w:t xml:space="preserve">09:30</w:t>
            </w:r>
            <w:r>
              <w:rPr>
                <w:rFonts w:hint="eastAsia" w:ascii="宋体" w:hAnsi="宋体" w:cs="宋体"/>
                <w:bCs/>
                <w:color w:val="000000"/>
                <w:sz w:val="24"/>
                <w:highlight w:val="none"/>
              </w:rPr>
              <w:t xml:space="preserve">（北京时间）前递交响应文件</w:t>
            </w:r>
            <w:r>
              <w:rPr>
                <w:rFonts w:hint="eastAsia" w:ascii="宋体" w:hAnsi="宋体" w:cs="宋体"/>
                <w:color w:val="000000"/>
                <w:sz w:val="24"/>
                <w:highlight w:val="none"/>
              </w:rPr>
              <w:t xml:space="preserve">。</w:t>
            </w:r>
            <w:r>
              <w:rPr>
                <w:highlight w:val="none"/>
              </w:rPr>
            </w:r>
            <w:r/>
          </w:p>
        </w:tc>
      </w:tr>
    </w:tbl>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79"/>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highlight w:val="none"/>
        </w:rPr>
      </w:r>
      <w:r/>
    </w:p>
    <w:p>
      <w:pPr>
        <w:pStyle w:val="879"/>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olor w:val="000000"/>
          <w:sz w:val="24"/>
          <w:highlight w:val="none"/>
          <w:lang w:eastAsia="zh-CN"/>
        </w:rPr>
        <w:t xml:space="preserve">JSZC-320506-ZHCD-C2025-0024</w:t>
      </w:r>
      <w:r>
        <w:rPr>
          <w:highlight w:val="none"/>
        </w:rPr>
      </w:r>
      <w:r/>
    </w:p>
    <w:p>
      <w:pPr>
        <w:pStyle w:val="879"/>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2026年太湖街道食堂食材配送项目</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3、采购方式：竞争性磋商</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4、预算金额：</w:t>
      </w:r>
      <w:r>
        <w:rPr>
          <w:rFonts w:hint="eastAsia" w:ascii="宋体" w:hAnsi="宋体" w:cs="宋体"/>
          <w:color w:val="000000"/>
          <w:sz w:val="24"/>
          <w:highlight w:val="none"/>
          <w:lang w:eastAsia="zh-CN"/>
        </w:rPr>
        <w:t xml:space="preserve">壹佰捌拾万元整（￥1800000.00元）</w:t>
      </w:r>
      <w:r>
        <w:rPr>
          <w:rFonts w:hint="eastAsia" w:ascii="宋体" w:hAnsi="宋体" w:cs="宋体"/>
          <w:color w:val="000000"/>
          <w:sz w:val="24"/>
          <w:highlight w:val="none"/>
        </w:rPr>
        <w:t xml:space="preserve">。</w:t>
      </w:r>
      <w:r>
        <w:rPr>
          <w:highlight w:val="none"/>
        </w:rPr>
      </w:r>
      <w:r/>
    </w:p>
    <w:p>
      <w:pPr>
        <w:pStyle w:val="879"/>
        <w:ind w:firstLine="480"/>
        <w:jc w:val="left"/>
        <w:spacing w:line="360" w:lineRule="auto"/>
        <w:rPr>
          <w:rFonts w:ascii="宋体" w:hAnsi="宋体" w:eastAsia="宋体" w:cs="宋体"/>
          <w:color w:val="000000"/>
          <w:sz w:val="24"/>
          <w:highlight w:val="none"/>
        </w:rPr>
      </w:pPr>
      <w:r>
        <w:rPr>
          <w:rFonts w:hint="eastAsia" w:ascii="宋体" w:hAnsi="宋体" w:cs="宋体"/>
          <w:color w:val="000000"/>
          <w:sz w:val="24"/>
          <w:highlight w:val="none"/>
        </w:rPr>
        <w:t xml:space="preserve">5、最高限价：</w:t>
      </w:r>
      <w:r>
        <w:rPr>
          <w:rFonts w:hint="eastAsia" w:ascii="宋体" w:hAnsi="宋体" w:cs="宋体"/>
          <w:color w:val="000000"/>
          <w:sz w:val="24"/>
          <w:highlight w:val="none"/>
          <w:lang w:eastAsia="zh-CN"/>
        </w:rPr>
        <w:t xml:space="preserve">壹佰捌拾万元整（￥1800000.00元）。</w:t>
      </w:r>
      <w:r>
        <w:rPr>
          <w:highlight w:val="none"/>
        </w:rPr>
      </w:r>
      <w:r/>
    </w:p>
    <w:p>
      <w:pPr>
        <w:pStyle w:val="879"/>
        <w:ind w:firstLine="480"/>
        <w:spacing w:line="360" w:lineRule="auto"/>
        <w:rPr>
          <w:rFonts w:hint="eastAsia"/>
          <w:highlight w:val="none"/>
        </w:rPr>
      </w:pPr>
      <w:r>
        <w:rPr>
          <w:rFonts w:hint="eastAsia" w:ascii="宋体" w:hAnsi="宋体" w:cs="宋体"/>
          <w:sz w:val="24"/>
          <w:highlight w:val="none"/>
        </w:rPr>
        <w:t xml:space="preserve">6、采购内容：对食堂原材料进行采购，包含大米、食用油、调味品、肉、禽蛋、蔬菜、水产、水果、豆制品、面包、牛奶等食材进行统一配送。</w:t>
      </w:r>
      <w:r>
        <w:rPr>
          <w:highlight w:val="none"/>
        </w:rPr>
      </w:r>
      <w:r/>
    </w:p>
    <w:p>
      <w:pPr>
        <w:pStyle w:val="879"/>
        <w:ind w:firstLine="420"/>
        <w:spacing w:line="360" w:lineRule="auto"/>
        <w:rPr>
          <w:rFonts w:ascii="宋体" w:hAnsi="宋体" w:cs="宋体"/>
          <w:sz w:val="24"/>
          <w:highlight w:val="none"/>
        </w:rPr>
      </w:pPr>
      <w:r>
        <w:rPr>
          <w:rFonts w:hint="eastAsia" w:ascii="宋体" w:hAnsi="宋体" w:cs="宋体"/>
          <w:sz w:val="24"/>
          <w:highlight w:val="none"/>
        </w:rPr>
        <w:t xml:space="preserve">7、项目地点：</w:t>
      </w:r>
      <w:r>
        <w:rPr>
          <w:rFonts w:hint="eastAsia" w:ascii="宋体" w:hAnsi="宋体" w:cs="宋体"/>
          <w:sz w:val="24"/>
          <w:highlight w:val="none"/>
          <w:lang w:eastAsia="zh-CN"/>
        </w:rPr>
        <w:t xml:space="preserve">太湖</w:t>
      </w:r>
      <w:r>
        <w:rPr>
          <w:rFonts w:hint="eastAsia" w:ascii="宋体" w:hAnsi="宋体" w:cs="宋体"/>
          <w:sz w:val="24"/>
          <w:highlight w:val="none"/>
          <w:lang w:val="en-US" w:eastAsia="zh-CN"/>
        </w:rPr>
        <w:t xml:space="preserve">街道食堂</w:t>
      </w:r>
      <w:r>
        <w:rPr>
          <w:highlight w:val="none"/>
        </w:rPr>
      </w:r>
      <w:r/>
    </w:p>
    <w:p>
      <w:pPr>
        <w:pStyle w:val="879"/>
        <w:ind w:firstLine="420"/>
        <w:spacing w:line="360" w:lineRule="auto"/>
        <w:rPr>
          <w:rFonts w:hint="eastAsia" w:ascii="宋体" w:hAnsi="宋体" w:cs="宋体"/>
          <w:sz w:val="24"/>
          <w:highlight w:val="none"/>
        </w:rPr>
      </w:pPr>
      <w:r>
        <w:rPr>
          <w:rFonts w:hint="eastAsia" w:ascii="宋体" w:hAnsi="宋体" w:cs="宋体"/>
          <w:sz w:val="24"/>
          <w:highlight w:val="none"/>
        </w:rPr>
        <w:t xml:space="preserve">8、技术、质量要求：符合采购单位要求及国家相关规定。</w:t>
      </w:r>
      <w:r>
        <w:rPr>
          <w:highlight w:val="none"/>
        </w:rPr>
      </w:r>
      <w:r/>
    </w:p>
    <w:p>
      <w:pPr>
        <w:pStyle w:val="879"/>
        <w:ind w:firstLine="420"/>
        <w:spacing w:line="360" w:lineRule="auto"/>
        <w:rPr>
          <w:rFonts w:ascii="宋体" w:hAnsi="宋体" w:cs="宋体"/>
          <w:sz w:val="24"/>
          <w:highlight w:val="none"/>
        </w:rPr>
      </w:pPr>
      <w:r>
        <w:rPr>
          <w:rFonts w:hint="eastAsia" w:ascii="宋体" w:hAnsi="宋体" w:cs="宋体"/>
          <w:sz w:val="24"/>
          <w:highlight w:val="none"/>
        </w:rPr>
        <w:t xml:space="preserve">9、合同期限：</w:t>
      </w:r>
      <w:r>
        <w:rPr>
          <w:rFonts w:hint="eastAsia" w:ascii="宋体" w:hAnsi="宋体" w:cs="宋体"/>
          <w:color w:val="000000"/>
          <w:sz w:val="24"/>
          <w:highlight w:val="none"/>
          <w:lang w:val="zh-CN"/>
        </w:rPr>
        <w:t xml:space="preserve">壹年（具体以实际提供服务之日起算）</w:t>
      </w:r>
      <w:r>
        <w:rPr>
          <w:rFonts w:hint="eastAsia" w:ascii="宋体" w:hAnsi="宋体" w:cs="宋体"/>
          <w:sz w:val="24"/>
          <w:highlight w:val="none"/>
        </w:rPr>
        <w:t xml:space="preserve">。</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10、本项目不接受联合体响应、不允许分包、不允许转包。</w:t>
      </w:r>
      <w:r>
        <w:rPr>
          <w:highlight w:val="none"/>
        </w:rPr>
      </w:r>
      <w:r/>
    </w:p>
    <w:p>
      <w:pPr>
        <w:pStyle w:val="879"/>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二、供应商资格要求：</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highlight w:val="none"/>
        </w:rPr>
      </w:r>
      <w:r/>
    </w:p>
    <w:p>
      <w:pPr>
        <w:pStyle w:val="879"/>
        <w:ind w:firstLine="480"/>
        <w:spacing w:line="360" w:lineRule="auto"/>
        <w:rPr>
          <w:rFonts w:ascii="宋体" w:hAnsi="宋体" w:cs="宋体"/>
          <w:color w:val="000000"/>
          <w:sz w:val="24"/>
          <w:highlight w:val="none"/>
        </w:rPr>
      </w:pPr>
      <w:r>
        <w:rPr>
          <w:highlight w:val="none"/>
        </w:rPr>
      </w:r>
      <w:bookmarkStart w:id="2" w:name="_Toc28359003"/>
      <w:r>
        <w:rPr>
          <w:rFonts w:hint="eastAsia" w:ascii="宋体" w:hAnsi="宋体" w:cs="宋体"/>
          <w:color w:val="000000"/>
          <w:sz w:val="24"/>
          <w:highlight w:val="none"/>
        </w:rPr>
        <w:t xml:space="preserve">（1）具有独立承担民事责任的能力；</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（2）具有良好的商业信誉和健全的财务会计制度，（提供202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年度或202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许可证）；</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highlight w:val="none"/>
        </w:rPr>
      </w:r>
      <w:r/>
    </w:p>
    <w:p>
      <w:pPr>
        <w:pStyle w:val="8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bookmarkEnd w:id="2"/>
      <w:r>
        <w:rPr>
          <w:rFonts w:hint="eastAsia" w:ascii="宋体" w:hAnsi="宋体" w:cs="宋体"/>
          <w:color w:val="000000"/>
          <w:sz w:val="24"/>
          <w:highlight w:val="none"/>
        </w:rPr>
        <w:t xml:space="preserve">。</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2、落实政府采购政策需满足的资格要求：根据《关于印发&lt;苏州市政府采购促进中小企业发展实施意见&gt;的通知》的相关规定，本项目专门面向中小企业，所属行业为</w:t>
      </w:r>
      <w:r>
        <w:rPr>
          <w:rFonts w:hint="eastAsia" w:ascii="宋体" w:hAnsi="宋体" w:cs="宋体"/>
          <w:color w:val="000000"/>
          <w:sz w:val="24"/>
          <w:highlight w:val="none"/>
          <w:lang w:eastAsia="zh-CN"/>
        </w:rPr>
        <w:t xml:space="preserve">批发业</w:t>
      </w:r>
      <w:r>
        <w:rPr>
          <w:rFonts w:hint="eastAsia" w:ascii="宋体" w:hAnsi="宋体" w:cs="宋体"/>
          <w:color w:val="000000"/>
          <w:sz w:val="24"/>
          <w:highlight w:val="none"/>
        </w:rPr>
        <w:t xml:space="preserve">。</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具有有效期内的食品经营许可证或食品生产许可证。</w:t>
      </w:r>
      <w:r>
        <w:rPr>
          <w:highlight w:val="none"/>
        </w:rPr>
      </w:r>
      <w:r/>
    </w:p>
    <w:p>
      <w:pPr>
        <w:pStyle w:val="879"/>
        <w:ind w:firstLine="480"/>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三</w:t>
      </w:r>
      <w:r>
        <w:rPr>
          <w:rFonts w:ascii="宋体" w:hAnsi="宋体"/>
          <w:b/>
          <w:bCs/>
          <w:color w:val="000000"/>
          <w:sz w:val="24"/>
          <w:highlight w:val="none"/>
        </w:rPr>
        <w:t xml:space="preserve">、</w:t>
      </w:r>
      <w:r>
        <w:rPr>
          <w:rFonts w:hint="eastAsia" w:ascii="宋体" w:hAnsi="宋体"/>
          <w:b/>
          <w:bCs/>
          <w:color w:val="000000"/>
          <w:sz w:val="24"/>
          <w:highlight w:val="none"/>
        </w:rPr>
        <w:t xml:space="preserve">磋商文件获取</w:t>
      </w:r>
      <w:r>
        <w:rPr>
          <w:rFonts w:ascii="宋体" w:hAnsi="宋体"/>
          <w:b/>
          <w:bCs/>
          <w:color w:val="000000"/>
          <w:sz w:val="24"/>
          <w:highlight w:val="none"/>
        </w:rPr>
        <w:t xml:space="preserve">信息：</w:t>
      </w:r>
      <w:r>
        <w:rPr>
          <w:highlight w:val="none"/>
        </w:rPr>
      </w:r>
      <w:r/>
    </w:p>
    <w:p>
      <w:pPr>
        <w:pStyle w:val="879"/>
        <w:ind w:firstLine="480"/>
        <w:jc w:val="left"/>
        <w:spacing w:line="360" w:lineRule="auto"/>
        <w:rPr>
          <w:rFonts w:ascii="宋体" w:hAnsi="宋体"/>
          <w:color w:val="000000"/>
          <w:sz w:val="24"/>
          <w:highlight w:val="none"/>
        </w:rPr>
      </w:pPr>
      <w:r>
        <w:rPr>
          <w:rFonts w:ascii="宋体" w:hAnsi="宋体"/>
          <w:color w:val="000000"/>
          <w:sz w:val="24"/>
          <w:highlight w:val="none"/>
        </w:rPr>
        <w:t xml:space="preserve">1、报名时间：</w:t>
      </w:r>
      <w:r>
        <w:rPr>
          <w:rFonts w:hint="eastAsia" w:ascii="宋体" w:hAnsi="宋体"/>
          <w:bCs/>
          <w:color w:val="000000"/>
          <w:sz w:val="24"/>
          <w:highlight w:val="none"/>
        </w:rPr>
        <w:t xml:space="preserve">自公告发布之日</w:t>
      </w:r>
      <w:r>
        <w:rPr>
          <w:rFonts w:hint="eastAsia" w:ascii="宋体" w:hAnsi="宋体"/>
          <w:bCs/>
          <w:color w:val="000000"/>
          <w:sz w:val="24"/>
          <w:highlight w:val="none"/>
          <w:lang w:val="en-US" w:eastAsia="zh-CN"/>
        </w:rPr>
        <w:t xml:space="preserve">五个工作日</w:t>
      </w:r>
      <w:r>
        <w:rPr>
          <w:rFonts w:ascii="宋体" w:hAnsi="宋体"/>
          <w:bCs/>
          <w:color w:val="000000"/>
          <w:sz w:val="24"/>
          <w:highlight w:val="none"/>
        </w:rPr>
        <w:t xml:space="preserve">。</w:t>
      </w:r>
      <w:r>
        <w:rPr>
          <w:highlight w:val="none"/>
        </w:rPr>
      </w:r>
      <w:r/>
    </w:p>
    <w:p>
      <w:pPr>
        <w:pStyle w:val="879"/>
        <w:ind w:firstLine="480"/>
        <w:spacing w:line="360" w:lineRule="auto"/>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2、地点：苏采云系统中自行下载</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3、报名方式：</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（1）CA证书办理</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sz w:val="24"/>
          <w:highlight w:val="none"/>
        </w:rPr>
        <w:t xml:space="preserve">苏州现场办理地址：</w:t>
      </w:r>
      <w:r>
        <w:rPr>
          <w:rFonts w:ascii="FangSong" w:hAnsi="FangSong" w:eastAsia="FangSong" w:cs="FangSong"/>
          <w:b/>
          <w:color w:val="000000"/>
          <w:sz w:val="24"/>
        </w:rPr>
        <w:t xml:space="preserve">苏州市高新区邓蔚路105号狮山科技馆一楼服务大厅，咨询电话：0512 6573 7699。</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（2）参与采购活动</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（3）电子投标准备</w:t>
      </w:r>
      <w:r>
        <w:rPr>
          <w:highlight w:val="none"/>
        </w:rPr>
      </w:r>
      <w:r/>
    </w:p>
    <w:p>
      <w:pPr>
        <w:pStyle w:val="879"/>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供应商在“苏采云”系统中操作成功参与项目后，必须在“已参与项目”界面中下载电子采购文件（后缀名为“.kedt”）并导入政府采购客户端工具后方可进行电子响应文件制作和提交</w:t>
      </w:r>
      <w:r>
        <w:rPr>
          <w:rFonts w:hint="eastAsia" w:ascii="宋体" w:hAnsi="宋体"/>
          <w:b/>
          <w:bCs/>
          <w:color w:val="000000"/>
          <w:sz w:val="24"/>
          <w:highlight w:val="none"/>
        </w:rPr>
        <w:t xml:space="preserve">（具体详见《苏采云系统供应商操作手册》，</w:t>
      </w:r>
      <w:r>
        <w:rPr>
          <w:highlight w:val="none"/>
        </w:rPr>
      </w:r>
      <w:r/>
    </w:p>
    <w:p>
      <w:pPr>
        <w:pStyle w:val="879"/>
        <w:ind w:firstLine="480"/>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网址链接</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https://czju.suzhou.gov.cn/zfcg/html/content/20231220161910031.shtml）</w:t>
      </w:r>
      <w:r>
        <w:rPr>
          <w:rFonts w:hint="eastAsia" w:ascii="宋体" w:hAnsi="宋体"/>
          <w:color w:val="000000"/>
          <w:sz w:val="24"/>
          <w:highlight w:val="none"/>
        </w:rPr>
        <w:t xml:space="preserve">。</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000000"/>
          <w:sz w:val="24"/>
          <w:highlight w:val="none"/>
        </w:rPr>
        <w:t xml:space="preserve">如有遗漏（包括但不限于文件未下载或下载不完整），可能无法解密投标（响应）文件，由此所造成的响应失败或损失由供应商自行负责。</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考虑到熟悉“苏采云”系统、办理CA证书都需要一定的时间，请提早准备以免耽误招标采购活动。</w:t>
      </w:r>
      <w:r>
        <w:rPr>
          <w:highlight w:val="none"/>
        </w:rPr>
      </w:r>
      <w:r/>
    </w:p>
    <w:p>
      <w:pPr>
        <w:pStyle w:val="87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4、在系统操作过程中如有疑问，请按以下方式联系：</w:t>
      </w:r>
      <w:r>
        <w:rPr>
          <w:highlight w:val="none"/>
        </w:rPr>
      </w:r>
      <w:r/>
    </w:p>
    <w:p>
      <w:pPr>
        <w:pStyle w:val="879"/>
        <w:ind w:firstLine="480"/>
        <w:spacing w:line="360" w:lineRule="auto"/>
      </w:pPr>
      <w:r>
        <w:rPr>
          <w:rFonts w:hint="eastAsia" w:ascii="宋体" w:hAnsi="宋体"/>
          <w:color w:val="000000"/>
          <w:sz w:val="24"/>
          <w:highlight w:val="none"/>
        </w:rPr>
        <w:t xml:space="preserve">注册咨询：18261002950；</w:t>
      </w:r>
      <w:r>
        <w:rPr>
          <w:rFonts w:hint="eastAsia" w:ascii="宋体" w:hAnsi="宋体"/>
          <w:color w:val="000000"/>
          <w:sz w:val="24"/>
          <w:highlight w:val="none"/>
        </w:rPr>
      </w:r>
      <w:r/>
    </w:p>
    <w:p>
      <w:pPr>
        <w:pStyle w:val="879"/>
        <w:ind w:firstLine="480"/>
        <w:spacing w:line="360" w:lineRule="auto"/>
      </w:pPr>
      <w:r>
        <w:rPr>
          <w:rFonts w:hint="eastAsia" w:ascii="宋体" w:hAnsi="宋体"/>
          <w:color w:val="000000"/>
          <w:sz w:val="24"/>
          <w:highlight w:val="none"/>
        </w:rPr>
        <w:t xml:space="preserve">CA技术咨询电话：400-608-6099；</w:t>
      </w:r>
      <w:r>
        <w:rPr>
          <w:rFonts w:hint="eastAsia" w:ascii="宋体" w:hAnsi="宋体"/>
          <w:color w:val="000000"/>
          <w:sz w:val="24"/>
          <w:highlight w:val="none"/>
        </w:rPr>
      </w:r>
      <w:r/>
    </w:p>
    <w:p>
      <w:pPr>
        <w:pStyle w:val="879"/>
        <w:ind w:firstLine="480"/>
        <w:spacing w:line="360" w:lineRule="auto"/>
      </w:pPr>
      <w:r>
        <w:rPr>
          <w:rFonts w:hint="eastAsia" w:ascii="宋体" w:hAnsi="宋体"/>
          <w:color w:val="000000"/>
          <w:sz w:val="24"/>
          <w:highlight w:val="none"/>
        </w:rPr>
        <w:t xml:space="preserve">签章使用问题：025-83633811、025-83633812、15380932027、15371015030；</w:t>
      </w:r>
      <w:r>
        <w:rPr>
          <w:rFonts w:hint="eastAsia" w:ascii="宋体" w:hAnsi="宋体"/>
          <w:color w:val="000000"/>
          <w:sz w:val="24"/>
          <w:highlight w:val="none"/>
        </w:rPr>
      </w:r>
      <w:r/>
    </w:p>
    <w:p>
      <w:pPr>
        <w:pStyle w:val="879"/>
        <w:ind w:firstLine="480"/>
        <w:spacing w:line="360" w:lineRule="auto"/>
      </w:pPr>
      <w:r>
        <w:rPr>
          <w:rFonts w:hint="eastAsia" w:ascii="宋体" w:hAnsi="宋体"/>
          <w:color w:val="000000"/>
          <w:sz w:val="24"/>
          <w:highlight w:val="none"/>
        </w:rPr>
        <w:t xml:space="preserve">系统使用指导与咨询：联系电话：18261002950；QQ：3048755361、1315179389、895706745。</w:t>
      </w:r>
      <w:r>
        <w:rPr>
          <w:rFonts w:hint="eastAsia" w:ascii="宋体" w:hAnsi="宋体"/>
          <w:color w:val="000000"/>
          <w:sz w:val="24"/>
          <w:highlight w:val="none"/>
        </w:rPr>
      </w:r>
      <w:r/>
    </w:p>
    <w:p>
      <w:pPr>
        <w:pStyle w:val="879"/>
        <w:ind w:firstLine="482"/>
        <w:spacing w:line="360" w:lineRule="auto"/>
        <w:rPr>
          <w:b/>
          <w:color w:val="000000"/>
          <w:sz w:val="24"/>
          <w:highlight w:val="none"/>
        </w:rPr>
      </w:pPr>
      <w:r>
        <w:rPr>
          <w:rFonts w:hint="eastAsia"/>
          <w:b/>
          <w:color w:val="000000"/>
          <w:sz w:val="24"/>
          <w:highlight w:val="none"/>
        </w:rPr>
        <w:t xml:space="preserve">四、响应文件提交</w:t>
      </w:r>
      <w:r>
        <w:rPr>
          <w:highlight w:val="none"/>
        </w:rPr>
      </w:r>
      <w:r/>
    </w:p>
    <w:p>
      <w:pPr>
        <w:pStyle w:val="87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1、截止时间：2025年12月16日</w:t>
      </w:r>
      <w:r>
        <w:rPr>
          <w:rFonts w:hint="eastAsia" w:ascii="宋体" w:hAnsi="宋体"/>
          <w:color w:val="000000"/>
          <w:sz w:val="24"/>
          <w:highlight w:val="none"/>
          <w:lang w:val="en-US" w:eastAsia="zh-CN"/>
        </w:rPr>
        <w:t xml:space="preserve">09</w:t>
      </w:r>
      <w:r>
        <w:rPr>
          <w:rFonts w:hint="eastAsia" w:ascii="宋体" w:hAnsi="宋体"/>
          <w:color w:val="000000"/>
          <w:sz w:val="24"/>
          <w:highlight w:val="none"/>
        </w:rPr>
        <w:t xml:space="preserve">:30（北京时间）</w:t>
      </w:r>
      <w:r>
        <w:rPr>
          <w:highlight w:val="none"/>
        </w:rPr>
      </w:r>
      <w:r/>
    </w:p>
    <w:p>
      <w:pPr>
        <w:pStyle w:val="87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2、地点：“苏采云”系统（网址：http://jszfcg.jsczt.cn/），响应文件网上递交，不需要现场参加采购活动，无需提供纸质响应文件。</w:t>
      </w:r>
      <w:r>
        <w:rPr>
          <w:highlight w:val="none"/>
        </w:rPr>
      </w:r>
      <w:r/>
    </w:p>
    <w:p>
      <w:pPr>
        <w:pStyle w:val="879"/>
        <w:ind w:firstLine="482"/>
        <w:spacing w:line="360" w:lineRule="auto"/>
        <w:rPr>
          <w:rFonts w:hint="eastAsia" w:ascii="宋体" w:hAnsi="宋体"/>
          <w:b/>
          <w:bCs/>
          <w:color w:val="000000"/>
          <w:sz w:val="24"/>
          <w:szCs w:val="22"/>
          <w:highlight w:val="none"/>
        </w:rPr>
      </w:pPr>
      <w:r>
        <w:rPr>
          <w:rFonts w:hint="eastAsia" w:ascii="宋体" w:hAnsi="宋体"/>
          <w:b/>
          <w:bCs/>
          <w:color w:val="000000"/>
          <w:sz w:val="24"/>
          <w:szCs w:val="22"/>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none"/>
        </w:rPr>
      </w:r>
      <w:r/>
    </w:p>
    <w:p>
      <w:pPr>
        <w:pStyle w:val="87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五、开启</w:t>
      </w:r>
      <w:r>
        <w:rPr>
          <w:highlight w:val="none"/>
        </w:rPr>
      </w:r>
      <w:r/>
    </w:p>
    <w:p>
      <w:pPr>
        <w:pStyle w:val="879"/>
        <w:ind w:firstLine="48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时间：</w:t>
      </w:r>
      <w:r>
        <w:rPr>
          <w:rFonts w:hint="eastAsia" w:ascii="宋体" w:hAnsi="宋体"/>
          <w:color w:val="000000"/>
          <w:sz w:val="24"/>
          <w:highlight w:val="none"/>
        </w:rPr>
        <w:t xml:space="preserve">2025年12月16日</w:t>
      </w:r>
      <w:r>
        <w:rPr>
          <w:rFonts w:hint="eastAsia" w:ascii="宋体" w:hAnsi="宋体"/>
          <w:color w:val="000000"/>
          <w:sz w:val="24"/>
          <w:highlight w:val="none"/>
          <w:lang w:val="en-US" w:eastAsia="zh-CN"/>
        </w:rPr>
        <w:t xml:space="preserve">09</w:t>
      </w:r>
      <w:r>
        <w:rPr>
          <w:rFonts w:hint="eastAsia" w:ascii="宋体" w:hAnsi="宋体"/>
          <w:color w:val="000000"/>
          <w:sz w:val="24"/>
          <w:highlight w:val="none"/>
        </w:rPr>
        <w:t xml:space="preserve">:30</w:t>
      </w:r>
      <w:r>
        <w:rPr>
          <w:rFonts w:hint="eastAsia" w:ascii="宋体" w:hAnsi="宋体"/>
          <w:color w:val="000000"/>
          <w:sz w:val="24"/>
          <w:szCs w:val="22"/>
          <w:highlight w:val="none"/>
        </w:rPr>
        <w:t xml:space="preserve">（北京时间）</w:t>
      </w:r>
      <w:r>
        <w:rPr>
          <w:highlight w:val="none"/>
        </w:rPr>
      </w:r>
      <w:r/>
    </w:p>
    <w:p>
      <w:pPr>
        <w:pStyle w:val="879"/>
        <w:ind w:firstLine="48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地点：“苏采云”政府采购交易系统网上开标大厅（网址：</w:t>
      </w:r>
      <w:r>
        <w:rPr>
          <w:rFonts w:hint="eastAsia" w:ascii="宋体" w:hAnsi="宋体"/>
          <w:color w:val="000000"/>
          <w:sz w:val="24"/>
          <w:szCs w:val="22"/>
          <w:highlight w:val="none"/>
        </w:rPr>
        <w:fldChar w:fldCharType="begin"/>
      </w:r>
      <w:r>
        <w:rPr>
          <w:rFonts w:hint="eastAsia" w:ascii="宋体" w:hAnsi="宋体"/>
          <w:color w:val="000000"/>
          <w:sz w:val="24"/>
          <w:szCs w:val="22"/>
          <w:highlight w:val="none"/>
        </w:rPr>
        <w:instrText xml:space="preserve"> HYPERLINK "http://jszfcg.jsczt.cn/），响应文件网上递交，不需要现场参加采购活动。" </w:instrText>
      </w:r>
      <w:r>
        <w:rPr>
          <w:rFonts w:hint="eastAsia" w:ascii="宋体" w:hAnsi="宋体"/>
          <w:color w:val="000000"/>
          <w:sz w:val="24"/>
          <w:szCs w:val="22"/>
          <w:highlight w:val="none"/>
        </w:rPr>
        <w:fldChar w:fldCharType="separate"/>
      </w:r>
      <w:r>
        <w:rPr>
          <w:rFonts w:hint="eastAsia" w:ascii="宋体" w:hAnsi="宋体"/>
          <w:color w:val="000000"/>
          <w:sz w:val="24"/>
          <w:szCs w:val="22"/>
          <w:highlight w:val="none"/>
        </w:rPr>
        <w:t xml:space="preserve">http://jszfcg.jsczt.cn/），响应文件网上递交，不需要现场参加采购活动。</w:t>
      </w:r>
      <w:r>
        <w:rPr>
          <w:rFonts w:hint="eastAsia" w:ascii="宋体" w:hAnsi="宋体"/>
          <w:color w:val="000000"/>
          <w:sz w:val="24"/>
          <w:szCs w:val="22"/>
          <w:highlight w:val="none"/>
        </w:rPr>
        <w:fldChar w:fldCharType="end"/>
      </w:r>
      <w:r>
        <w:rPr>
          <w:highlight w:val="none"/>
        </w:rPr>
      </w:r>
      <w:r/>
    </w:p>
    <w:p>
      <w:pPr>
        <w:pStyle w:val="879"/>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000000"/>
          <w:sz w:val="24"/>
          <w:szCs w:val="22"/>
          <w:highlight w:val="none"/>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rPr>
          <w:highlight w:val="none"/>
        </w:rPr>
      </w:r>
      <w:r/>
    </w:p>
    <w:p>
      <w:pPr>
        <w:pStyle w:val="87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六、公告期限</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highlight w:val="none"/>
        </w:rPr>
      </w:r>
      <w:r/>
    </w:p>
    <w:p>
      <w:pPr>
        <w:pStyle w:val="879"/>
        <w:ind w:firstLine="482"/>
        <w:spacing w:line="360" w:lineRule="auto"/>
        <w:rPr>
          <w:rFonts w:ascii="宋体" w:hAnsi="宋体" w:cs="宋体"/>
          <w:b/>
          <w:color w:val="000000"/>
          <w:sz w:val="24"/>
          <w:highlight w:val="none"/>
        </w:rPr>
      </w:pPr>
      <w:r>
        <w:rPr>
          <w:highlight w:val="none"/>
        </w:rPr>
      </w:r>
      <w:bookmarkStart w:id="3" w:name="_Toc35393626"/>
      <w:r>
        <w:rPr>
          <w:highlight w:val="none"/>
        </w:rPr>
      </w:r>
      <w:bookmarkStart w:id="4" w:name="_Toc35393795"/>
      <w:r>
        <w:rPr>
          <w:rFonts w:hint="eastAsia" w:ascii="宋体" w:hAnsi="宋体" w:cs="宋体"/>
          <w:b/>
          <w:color w:val="000000"/>
          <w:sz w:val="24"/>
          <w:highlight w:val="none"/>
        </w:rPr>
        <w:t xml:space="preserve">七、其他补充事宜</w:t>
      </w:r>
      <w:bookmarkEnd w:id="3"/>
      <w:r>
        <w:rPr>
          <w:highlight w:val="none"/>
        </w:rPr>
      </w:r>
      <w:bookmarkEnd w:id="4"/>
      <w:r>
        <w:rPr>
          <w:highlight w:val="none"/>
        </w:rPr>
      </w:r>
      <w:r/>
    </w:p>
    <w:p>
      <w:pPr>
        <w:pStyle w:val="87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1、本次采购的有关信息将在中国政府采购网中央主网、江苏政府采购网、苏州政府采购网，敬请留意！</w:t>
      </w:r>
      <w:r>
        <w:rPr>
          <w:highlight w:val="none"/>
        </w:rPr>
      </w:r>
      <w:r/>
    </w:p>
    <w:p>
      <w:pPr>
        <w:pStyle w:val="879"/>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2、苏州太湖新城吴中管理委员会党政办公室监管电话：（0512）65169307。</w:t>
      </w:r>
      <w:r>
        <w:rPr>
          <w:highlight w:val="none"/>
        </w:rPr>
      </w:r>
      <w:r/>
    </w:p>
    <w:p>
      <w:pPr>
        <w:pStyle w:val="879"/>
        <w:ind w:firstLine="482"/>
        <w:spacing w:line="360" w:lineRule="auto"/>
        <w:rPr>
          <w:rFonts w:hint="eastAsia"/>
          <w:b/>
          <w:color w:val="000000"/>
          <w:sz w:val="24"/>
          <w:highlight w:val="none"/>
        </w:rPr>
      </w:pPr>
      <w:r>
        <w:rPr>
          <w:rFonts w:hint="eastAsia"/>
          <w:b/>
          <w:color w:val="000000"/>
          <w:sz w:val="24"/>
          <w:highlight w:val="none"/>
        </w:rPr>
        <w:t xml:space="preserve">八、凡对本次采购提出询问，请按以下方式联系。</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1、采购人信息</w:t>
      </w:r>
      <w:r>
        <w:rPr>
          <w:highlight w:val="none"/>
        </w:rPr>
      </w:r>
      <w:r/>
    </w:p>
    <w:p>
      <w:pPr>
        <w:pStyle w:val="879"/>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olor w:val="000000"/>
          <w:sz w:val="24"/>
          <w:highlight w:val="none"/>
          <w:lang w:eastAsia="zh-CN"/>
        </w:rPr>
        <w:t xml:space="preserve">苏州市吴中区人民政府太湖街道办事处</w:t>
      </w:r>
      <w:r>
        <w:rPr>
          <w:highlight w:val="none"/>
        </w:rPr>
      </w:r>
      <w:r/>
    </w:p>
    <w:p>
      <w:pPr>
        <w:pStyle w:val="879"/>
        <w:ind w:firstLine="480"/>
        <w:jc w:val="left"/>
        <w:spacing w:line="360" w:lineRule="auto"/>
        <w:rPr>
          <w:rFonts w:hint="eastAsia" w:ascii="宋体" w:hAnsi="宋体" w:eastAsia="宋体" w:cs="宋体"/>
          <w:color w:val="000000"/>
          <w:sz w:val="24"/>
          <w:highlight w:val="none"/>
          <w:shd w:val="clear" w:color="auto" w:fill="ffffff"/>
        </w:rPr>
      </w:pPr>
      <w:r>
        <w:rPr>
          <w:rFonts w:hint="eastAsia" w:ascii="宋体" w:hAnsi="宋体"/>
          <w:color w:val="000000"/>
          <w:sz w:val="24"/>
          <w:highlight w:val="none"/>
        </w:rPr>
        <w:t xml:space="preserve">地址：</w:t>
      </w:r>
      <w:r>
        <w:rPr>
          <w:rFonts w:hint="eastAsia" w:ascii="宋体" w:hAnsi="宋体"/>
          <w:color w:val="000000"/>
          <w:sz w:val="24"/>
          <w:highlight w:val="none"/>
          <w:lang w:val="en-US" w:eastAsia="zh-CN"/>
        </w:rPr>
        <w:t xml:space="preserve">江苏省苏州市吴中区龙翔路777号</w:t>
      </w:r>
      <w:r>
        <w:rPr>
          <w:highlight w:val="none"/>
        </w:rPr>
      </w:r>
      <w:r/>
    </w:p>
    <w:p>
      <w:pPr>
        <w:pStyle w:val="879"/>
        <w:ind w:firstLine="480"/>
        <w:jc w:val="left"/>
        <w:spacing w:line="360" w:lineRule="auto"/>
        <w:rPr>
          <w:rFonts w:ascii="宋体" w:hAnsi="宋体" w:eastAsia="宋体" w:cs="宋体"/>
          <w:color w:val="000000"/>
          <w:sz w:val="24"/>
          <w:highlight w:val="none"/>
        </w:rPr>
      </w:pPr>
      <w:r>
        <w:rPr>
          <w:rFonts w:hint="eastAsia" w:ascii="宋体" w:hAnsi="宋体" w:cs="宋体"/>
          <w:color w:val="000000"/>
          <w:sz w:val="24"/>
          <w:highlight w:val="none"/>
        </w:rPr>
        <w:t xml:space="preserve">联系方式：席东/0512-68560020</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名称：江苏至衡诚达工程咨询有限公司</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地址：东太湖路66号威仪工园2号楼217室</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联系方式：孙继伟/13063718760</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邢建东</w:t>
      </w:r>
      <w:r>
        <w:rPr>
          <w:rFonts w:hint="eastAsia" w:ascii="宋体" w:hAnsi="宋体" w:cs="宋体"/>
          <w:color w:val="000000"/>
          <w:sz w:val="24"/>
          <w:highlight w:val="none"/>
        </w:rPr>
        <w:t xml:space="preserve">、孙继伟</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电话：13063718760</w:t>
      </w:r>
      <w:r>
        <w:rPr>
          <w:highlight w:val="none"/>
        </w:rPr>
      </w:r>
      <w:r/>
    </w:p>
    <w:p>
      <w:pPr>
        <w:pStyle w:val="879"/>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79"/>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江苏至衡诚达工程咨询有限公司</w:t>
      </w:r>
      <w:r>
        <w:rPr>
          <w:highlight w:val="none"/>
        </w:rPr>
      </w:r>
      <w:r/>
    </w:p>
    <w:p>
      <w:pPr>
        <w:pStyle w:val="879"/>
        <w:ind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月04</w:t>
      </w:r>
      <w:r>
        <w:rPr>
          <w:rFonts w:hint="eastAsia" w:ascii="宋体" w:hAnsi="宋体" w:cs="宋体"/>
          <w:color w:val="000000"/>
          <w:sz w:val="24"/>
          <w:highlight w:val="none"/>
        </w:rPr>
        <w:t xml:space="preserve">日</w:t>
      </w:r>
      <w:r>
        <w:rPr>
          <w:highlight w:val="none"/>
        </w:rPr>
      </w:r>
      <w:r/>
    </w:p>
    <w:p>
      <w:pPr>
        <w:pStyle w:val="879"/>
        <w:rPr>
          <w:rFonts w:hint="eastAsia" w:ascii="宋体" w:hAnsi="宋体"/>
          <w:highlight w:val="none"/>
        </w:rPr>
      </w:pPr>
      <w:r>
        <w:rPr>
          <w:rFonts w:ascii="宋体" w:hAnsi="宋体"/>
          <w:sz w:val="24"/>
          <w:highlight w:val="none"/>
        </w:rPr>
        <w:br w:type="page" w:clear="all"/>
      </w:r>
      <w:r>
        <w:rPr>
          <w:highlight w:val="none"/>
        </w:rPr>
      </w:r>
      <w:r/>
    </w:p>
    <w:p>
      <w:pPr>
        <w:pStyle w:val="1164"/>
        <w:jc w:val="center"/>
        <w:rPr>
          <w:rFonts w:ascii="黑体" w:hAnsi="宋体" w:eastAsia="黑体"/>
          <w:szCs w:val="16"/>
          <w:highlight w:val="none"/>
        </w:rPr>
      </w:pPr>
      <w:r>
        <w:rPr>
          <w:highlight w:val="none"/>
        </w:rPr>
      </w:r>
      <w:bookmarkStart w:id="5" w:name="_Toc474491764"/>
      <w:r>
        <w:rPr>
          <w:highlight w:val="none"/>
        </w:rPr>
      </w:r>
      <w:bookmarkStart w:id="6" w:name="_Toc10577"/>
      <w:r>
        <w:rPr>
          <w:rFonts w:hint="eastAsia" w:ascii="黑体" w:hAnsi="宋体" w:eastAsia="黑体"/>
          <w:szCs w:val="16"/>
          <w:highlight w:val="none"/>
        </w:rPr>
        <w:t xml:space="preserve">第二章</w:t>
      </w:r>
      <w:r>
        <w:rPr>
          <w:rFonts w:ascii="黑体" w:hAnsi="宋体" w:eastAsia="黑体"/>
          <w:szCs w:val="16"/>
          <w:highlight w:val="none"/>
        </w:rPr>
        <w:t xml:space="preserve"> </w:t>
      </w:r>
      <w:r>
        <w:rPr>
          <w:rFonts w:hint="eastAsia" w:ascii="黑体" w:hAnsi="宋体" w:eastAsia="黑体"/>
          <w:szCs w:val="16"/>
          <w:highlight w:val="none"/>
        </w:rPr>
        <w:t xml:space="preserve"> </w:t>
      </w:r>
      <w:bookmarkEnd w:id="5"/>
      <w:r>
        <w:rPr>
          <w:rFonts w:hint="eastAsia" w:ascii="黑体" w:hAnsi="宋体" w:eastAsia="黑体"/>
          <w:szCs w:val="16"/>
          <w:highlight w:val="none"/>
        </w:rPr>
        <w:t xml:space="preserve">供应商须知</w:t>
      </w:r>
      <w:bookmarkEnd w:id="6"/>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A 说明和释义</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1.说明</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1.1本采购文件仅适用于江苏至衡诚达工程咨询有限公司组织的采购活动。</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1.2本次采购活动及因本次采购产生的合同受中国法律制约和保护。</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1.3本采购文件的解释权属于江苏至衡诚达工程咨询有限公司。</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2.词语释义</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2.1采购单位：依法进行政府采购的国家机关、事业单位、团体组织。</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2.2供应商：响应磋商并且符合磋商采购文件规定的资格条件和参加磋商竞争的法人、其他组织或者自然人。</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2.3响应：供应商根据采购单位发布的磋商采购文件，编制磋商响应文件并按规定参与磋商的行为。</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2.4合同：采供双方根据采购文件和成交的磋商响应文件及成交通知书规定的内容签署的以书面形式所达成的协议，包括所有的附件、附录和构成协议的所有文件。</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2.5采购单位（采购方）：合同中明确规定的实际购买货物和服务的法人或其他组织和自然人。</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2.6供应商（服务单位）（供应商）：合同中规定的向采购方提供货物和服务的法人或其他组织和自然人。</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2.7货物：系指供应商（服务单位）按采购文件规定，应向采购单位提供的一切设备、备品、备件、工具、手册及其</w:t>
      </w:r>
      <w:r>
        <w:rPr>
          <w:rFonts w:ascii="宋体" w:hAnsi="宋体" w:cs="宋体"/>
          <w:color w:val="000000"/>
          <w:sz w:val="24"/>
          <w:highlight w:val="none"/>
        </w:rPr>
        <w:t xml:space="preserve">他</w:t>
      </w:r>
      <w:r>
        <w:rPr>
          <w:rFonts w:hint="eastAsia" w:ascii="宋体" w:hAnsi="宋体" w:cs="宋体"/>
          <w:color w:val="000000"/>
          <w:sz w:val="24"/>
          <w:highlight w:val="none"/>
        </w:rPr>
        <w:t xml:space="preserve">有关技术资料和材料。</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2.8服务：系指本次采购文件规定供应商（服务单位）应承担的与提供货物和服务有关的辅助服务，比如运输、保险、安装、调试、提供技术援助、培训、配合措施、维修响应及合同中规定供应商（服务单位）应承担的其它义务。</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2.9知识产权：指专利权、商标权、著作权等无形财产专有权的统称。</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2.10天：日历天。</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2.11交货地点：合同中明确约定的供应商（服务单位）提交的货物和服务最终到达地点。</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2.12合同价款：根据合同规定，供应商（服务单位）在正确的履行合同义务后采购单位应支付供应商（服务单位）的价款。</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2.13产地：货物开采、生长、生产、最终制造、加工或提供服务的来源地。</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2.14不可抗力：不能预见、不能避免并且不能克服的客观情况。</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2.15实质响应：满足有关本次采购标的、数量、质量、价款或者报酬、履行期限、履行地点和方式、违约责任和解决争议方法等要求。</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2.16进口产品：通过中国海关报关验放进入中国境内且产自关境外的产品。</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2.17书面形式：指书面文字、合同书、信件和传真等可以有形地表现所载内容的形式。</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B 供应商</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3.合格磋商供应商的一般条件</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3.1能够独立承担民事责任的能力（供应商营业执照及法人身份证明文件）；</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3.2具有良好的商业信誉和健全的财务会计制度证明。包括但不限于最近一期经审计的财务报告，其他组织、自然人及成立未满一年的法人应提供银行出具的资信证明；</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3.3具有履行合同所必需的设备和专业技术能力，（根据《中华人民共和国市场主体登记管理条例》第十三条及相关部门规章的规定，企业法人性质的政府采购供应商应在经工商管理部门核准登记注册的经营范围内参与经营活动）；</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3.4有依法缴纳税收和社会保障资金的良好记录（合理期限内依法缴纳税收的凭据，社会保险登记证或依法缴纳社会保险的凭据）；</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3.5参加政府采购活动前三年内，在经营活动中没有重大违法记录（书面声明函）；</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3.6法律、行政法规规定的其他条件；</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3.7本次采购不接受进口产品；</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3.8本项目不接受联合体投标；</w:t>
      </w:r>
      <w:r>
        <w:rPr>
          <w:highlight w:val="none"/>
        </w:rPr>
      </w:r>
      <w:r/>
    </w:p>
    <w:p>
      <w:pPr>
        <w:pStyle w:val="1257"/>
        <w:ind w:firstLine="480"/>
        <w:rPr>
          <w:rFonts w:ascii="宋体" w:hAnsi="宋体" w:cs="宋体"/>
          <w:color w:val="000000"/>
          <w:highlight w:val="none"/>
        </w:rPr>
      </w:pPr>
      <w:r>
        <w:rPr>
          <w:rFonts w:hint="eastAsia" w:ascii="宋体" w:hAnsi="宋体" w:cs="宋体"/>
          <w:color w:val="000000"/>
          <w:highlight w:val="none"/>
        </w:rPr>
        <w:t xml:space="preserve">3.9合格磋商供应商的特殊条件：</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3.9.1单位负责人为同一人或者存在直接控股、管理关系的不同供应商（包含法定代表人为同一个人的两个及两个以上法人，母公司、全资子公司及其控股公司），不得参加同一合同项下的政府采购活动。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879"/>
        <w:ind w:firstLine="480"/>
        <w:spacing w:line="360" w:lineRule="auto"/>
        <w:rPr>
          <w:rFonts w:ascii="宋体" w:hAnsi="宋体" w:cs="宋体"/>
          <w:color w:val="000000"/>
          <w:highlight w:val="none"/>
        </w:rPr>
      </w:pPr>
      <w:r>
        <w:rPr>
          <w:rFonts w:hint="eastAsia" w:ascii="宋体" w:hAnsi="宋体" w:cs="宋体"/>
          <w:color w:val="000000"/>
          <w:sz w:val="24"/>
          <w:highlight w:val="none"/>
        </w:rPr>
        <w:t xml:space="preserve">3.9.2未被列入失信被执行人、重大税收违法案件当事人名单、政府采购严重失信行为记录名单</w:t>
      </w:r>
      <w:r>
        <w:rPr>
          <w:highlight w:val="none"/>
        </w:rPr>
      </w:r>
      <w:r/>
    </w:p>
    <w:p>
      <w:pPr>
        <w:pStyle w:val="879"/>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3.9.</w:t>
      </w: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项目负责人的替换：在项目执行过程中，因特殊情形需要替换项目负责人时，供应商应至少提前十五日向采购人报告，并提供替换人选的相关</w:t>
      </w:r>
      <w:r>
        <w:rPr>
          <w:rFonts w:hint="eastAsia" w:ascii="宋体" w:hAnsi="宋体" w:cs="宋体"/>
          <w:color w:val="000000"/>
          <w:sz w:val="24"/>
          <w:highlight w:val="none"/>
        </w:rPr>
        <w:t xml:space="preserve">证书</w:t>
      </w:r>
      <w:r>
        <w:rPr>
          <w:rFonts w:ascii="宋体" w:hAnsi="宋体" w:cs="宋体"/>
          <w:color w:val="000000"/>
          <w:sz w:val="24"/>
          <w:highlight w:val="none"/>
        </w:rPr>
        <w:t xml:space="preserve">，且需经采购人书面确认同意后方可</w:t>
      </w:r>
      <w:r>
        <w:rPr>
          <w:rFonts w:hint="eastAsia" w:ascii="宋体" w:hAnsi="宋体" w:cs="宋体"/>
          <w:color w:val="000000"/>
          <w:sz w:val="24"/>
          <w:highlight w:val="none"/>
        </w:rPr>
        <w:t xml:space="preserve">替换</w:t>
      </w:r>
      <w:r>
        <w:rPr>
          <w:rFonts w:ascii="宋体" w:hAnsi="宋体" w:cs="宋体"/>
          <w:color w:val="000000"/>
          <w:sz w:val="24"/>
          <w:highlight w:val="none"/>
        </w:rPr>
        <w:t xml:space="preserve">。</w:t>
      </w:r>
      <w:r>
        <w:rPr>
          <w:highlight w:val="none"/>
        </w:rPr>
      </w:r>
      <w:r/>
    </w:p>
    <w:p>
      <w:pPr>
        <w:pStyle w:val="879"/>
        <w:ind w:firstLine="480"/>
        <w:spacing w:line="360" w:lineRule="auto"/>
        <w:rPr>
          <w:rFonts w:eastAsia="宋体"/>
          <w:highlight w:val="none"/>
        </w:rPr>
      </w:pPr>
      <w:r>
        <w:rPr>
          <w:rFonts w:hint="eastAsia" w:ascii="宋体" w:hAnsi="宋体" w:eastAsia="宋体" w:cs="宋体"/>
          <w:color w:val="000000"/>
          <w:sz w:val="24"/>
          <w:highlight w:val="none"/>
          <w:lang w:val="en-US" w:eastAsia="zh-CN"/>
        </w:rPr>
        <w:t xml:space="preserve">3.9.4</w:t>
      </w:r>
      <w:r>
        <w:rPr>
          <w:rFonts w:hint="eastAsia" w:ascii="宋体" w:hAnsi="宋体" w:eastAsia="宋体" w:cs="宋体"/>
          <w:color w:val="000000"/>
          <w:sz w:val="24"/>
          <w:highlight w:val="none"/>
        </w:rPr>
        <w:t xml:space="preserve">具有有效期内的食品经营许可证或食品生产许可证。</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4.供应商代表</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4.1指全权代表供应商参加磋商采购活动并签署磋商响应文件的人，如果磋商供应商代表不是法人代表，须持有《法定代表人授权委托书》（详见附件格式）。 </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5.磋商费用</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5.1无论磋商过程中的做法和结果如何，磋商供应商自行承担所有与参加磋商有关的全部费用。</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6.磋商采购文件</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7.采购文件的修改</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bCs/>
          <w:color w:val="000000"/>
          <w:sz w:val="24"/>
          <w:highlight w:val="none"/>
        </w:rPr>
        <w:t xml:space="preserve">7.1在递交（上传）磋商响应文件截止时间前，采购单位无论出于自己的考虑，还是出</w:t>
      </w:r>
      <w:r>
        <w:rPr>
          <w:rFonts w:hint="eastAsia" w:ascii="宋体" w:hAnsi="宋体" w:cs="宋体"/>
          <w:color w:val="000000"/>
          <w:sz w:val="24"/>
          <w:highlight w:val="none"/>
        </w:rPr>
        <w:t xml:space="preserve">于对供应商提问的澄清，均可对采购文件用更正公告的方式进行修改。</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7.2采购单位对采购文件的修改，将以网上公告形式通知已购买采购文件的磋商供应商。更正公告将作为采购文件的组成部分，对所有磋商供应商有约束力。</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8.采购文件提疑</w:t>
      </w:r>
      <w:r>
        <w:rPr>
          <w:highlight w:val="none"/>
        </w:rPr>
      </w:r>
      <w:r/>
    </w:p>
    <w:p>
      <w:pPr>
        <w:pStyle w:val="879"/>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highlight w:val="none"/>
        </w:rPr>
      </w:r>
      <w:r/>
    </w:p>
    <w:p>
      <w:pPr>
        <w:pStyle w:val="879"/>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highlight w:val="none"/>
        </w:rPr>
        <w:t xml:space="preserve">投标供应商确认函</w:t>
      </w:r>
      <w:r>
        <w:rPr>
          <w:rFonts w:hint="eastAsia" w:ascii="宋体" w:hAnsi="宋体" w:cs="宋体"/>
          <w:bCs/>
          <w:color w:val="000000"/>
          <w:sz w:val="24"/>
          <w:highlight w:val="none"/>
        </w:rPr>
        <w:t xml:space="preserve">》）与质疑函一起递交，否则不予受理。</w:t>
      </w:r>
      <w:r>
        <w:rPr>
          <w:highlight w:val="none"/>
        </w:rPr>
      </w:r>
      <w:r/>
    </w:p>
    <w:p>
      <w:pPr>
        <w:pStyle w:val="879"/>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bCs/>
          <w:color w:val="000000"/>
          <w:sz w:val="24"/>
          <w:highlight w:val="none"/>
        </w:rPr>
        <w:t xml:space="preserve">8.3本次采购文件要求供应商在法定质疑期内一次性提出针对同一采购程序环节的质疑。</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8.4供应商提出质疑应当提交质疑函和必要的证明材料。质疑函应当包括下列内容：</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8.4.1供应商的姓名或者名称（以营业执照副本复印件为准）、地址、邮编、联系人及联系电话；</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8.4.2质疑项目的名称、编号；</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8.4.3具体、明确的质疑事项和与质疑事项相关的请求；</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8.4.4事实依据；</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8.4.5必要的法律依据；</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8.4.6提出质疑的日期。</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8.4.7</w:t>
      </w:r>
      <w:r>
        <w:rPr>
          <w:rFonts w:hint="eastAsia" w:ascii="宋体" w:hAnsi="宋体" w:cs="宋体"/>
          <w:bCs/>
          <w:color w:val="000000"/>
          <w:sz w:val="24"/>
          <w:highlight w:val="none"/>
        </w:rPr>
        <w:t xml:space="preserve">供应商参加投标确认函</w:t>
      </w:r>
      <w:r>
        <w:rPr>
          <w:rFonts w:hint="eastAsia" w:ascii="宋体" w:hAnsi="宋体" w:cs="宋体"/>
          <w:color w:val="000000"/>
          <w:sz w:val="24"/>
          <w:highlight w:val="none"/>
        </w:rPr>
        <w:t xml:space="preserve">。</w:t>
      </w:r>
      <w:r>
        <w:rPr>
          <w:highlight w:val="none"/>
        </w:rPr>
      </w:r>
      <w:r/>
    </w:p>
    <w:p>
      <w:pPr>
        <w:pStyle w:val="879"/>
        <w:ind w:firstLine="480"/>
        <w:spacing w:line="360" w:lineRule="auto"/>
        <w:tabs>
          <w:tab w:val="left" w:pos="8930" w:leader="none"/>
          <w:tab w:val="left" w:pos="9306" w:leader="none"/>
        </w:tabs>
        <w:rPr>
          <w:rFonts w:ascii="宋体" w:hAnsi="宋体" w:cs="宋体"/>
          <w:bCs/>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8.4.8接收质疑函的方式：书面形式（当场送达或邮寄方式）。</w:t>
      </w:r>
      <w:r>
        <w:rPr>
          <w:highlight w:val="none"/>
        </w:rPr>
      </w:r>
      <w:r/>
    </w:p>
    <w:p>
      <w:pPr>
        <w:pStyle w:val="879"/>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质疑联系人：孙继伟</w:t>
      </w:r>
      <w:r>
        <w:rPr>
          <w:highlight w:val="none"/>
        </w:rPr>
      </w:r>
      <w:r/>
    </w:p>
    <w:p>
      <w:pPr>
        <w:pStyle w:val="879"/>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联系电话：13063718760</w:t>
      </w:r>
      <w:r>
        <w:rPr>
          <w:highlight w:val="none"/>
        </w:rPr>
      </w:r>
      <w:r/>
    </w:p>
    <w:p>
      <w:pPr>
        <w:pStyle w:val="879"/>
        <w:ind w:firstLine="480"/>
        <w:spacing w:line="360" w:lineRule="auto"/>
        <w:tabs>
          <w:tab w:val="left" w:pos="8930" w:leader="none"/>
          <w:tab w:val="left" w:pos="9306"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通讯地址：东太湖路66号威仪工园2号楼217室</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9.提示与要求</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9.2无论是否递交（上传）磋商响应文件，供应商都应将采购文件及以后的所有通知、文件等视为保密文件。</w:t>
      </w:r>
      <w:r>
        <w:rPr>
          <w:highlight w:val="none"/>
        </w:rPr>
      </w:r>
      <w:r/>
    </w:p>
    <w:p>
      <w:pPr>
        <w:pStyle w:val="879"/>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10.响应文件计量单位和使用文字</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10.1响应文件中所使用的计量单位，除采购文件中有特殊要求外，均应使用中华人民共和国法定计量单位。</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rPr>
          <w:highlight w:val="none"/>
        </w:rPr>
      </w:r>
      <w:r/>
    </w:p>
    <w:p>
      <w:pPr>
        <w:pStyle w:val="879"/>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11. 响应文件组成（部分格式见第六章）</w:t>
      </w:r>
      <w:r>
        <w:rPr>
          <w:highlight w:val="none"/>
        </w:rPr>
      </w:r>
      <w:r/>
    </w:p>
    <w:p>
      <w:pPr>
        <w:pStyle w:val="1258"/>
        <w:ind w:firstLine="482"/>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11.1响应文件报价部分：</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11.1.1磋商响应函；</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11.1.2磋商响应报价表；</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11.1.3分项报价明细表；</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11.1.4法定代表人授权委托书（如有授权）；</w:t>
      </w:r>
      <w:r>
        <w:rPr>
          <w:highlight w:val="none"/>
        </w:rPr>
      </w:r>
      <w:r/>
    </w:p>
    <w:p>
      <w:pPr>
        <w:pStyle w:val="1258"/>
        <w:ind w:firstLine="482"/>
        <w:spacing w:line="360" w:lineRule="auto"/>
        <w:rPr>
          <w:rFonts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11.2响应文件资格及技术部分：</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11.2.1关于资格文件的声明函；</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11.2.2磋商响应单位基本情况表；</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11.2.3磋商响应单位《营业执照》副本扫描件；</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11.2.4磋商响应单位法定代表人身份证扫描件；</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11.2.5磋商响应单位代理人身份证扫描件（如有授权）；</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11.2.6合格供应商的基本条件</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11.2.6.1具有独立承担民事责任的能力证明。包括法人或者其他组织的营业执照等证明文件，自然人的身份证明；</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11.2.6.2具有良好的商业信誉和健全的财务会计制度证明。包括但不限于最近一期经审计的财务报告，其他组织、自然人及成立未满一年的法人应提供银行出具的资信证明。</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11.2.6.3响应单位证明其满足合格投标人条件的证书、证明、文件等资料以及响应单位所具备的专业设备和专业技术能力，（根据《中华人民共和国市场主体登记管理条例》第十三条及相关部门规章的规定，企业法人性质的政府采购</w:t>
      </w:r>
      <w:r>
        <w:rPr>
          <w:rFonts w:hint="eastAsia" w:ascii="宋体" w:hAnsi="宋体" w:eastAsia="宋体" w:cs="宋体"/>
          <w:color w:val="000000"/>
          <w:szCs w:val="24"/>
          <w:highlight w:val="none"/>
          <w:lang w:eastAsia="zh-CN"/>
        </w:rPr>
        <w:t xml:space="preserve">响应单位</w:t>
      </w:r>
      <w:r>
        <w:rPr>
          <w:rFonts w:hint="eastAsia" w:ascii="宋体" w:hAnsi="宋体" w:eastAsia="宋体" w:cs="宋体"/>
          <w:color w:val="000000"/>
          <w:szCs w:val="24"/>
          <w:highlight w:val="none"/>
        </w:rPr>
        <w:t xml:space="preserve">应在经工商管理部门核准登记注册的经营范围内参与经营活动。）</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rPr>
          <w:highlight w:val="none"/>
        </w:rPr>
      </w:r>
      <w:r/>
    </w:p>
    <w:p>
      <w:pPr>
        <w:pStyle w:val="1258"/>
        <w:ind w:firstLine="48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11.2.6.5参加政府采购活动前三年内，在经营活动中没有重大违法记录的书面声明函；</w:t>
      </w:r>
      <w:r>
        <w:rPr>
          <w:highlight w:val="none"/>
        </w:rPr>
      </w:r>
      <w:r/>
    </w:p>
    <w:p>
      <w:pPr>
        <w:pStyle w:val="125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11.2.6.6《中小企业声明函》或《残疾人福利性单位声明函》或由省级以上监狱管理局、戒毒管理局（含新疆生产建设兵团）出具的属于监狱企业的证明文件</w:t>
      </w:r>
      <w:r>
        <w:rPr>
          <w:highlight w:val="none"/>
        </w:rPr>
      </w:r>
      <w:r/>
    </w:p>
    <w:p>
      <w:pPr>
        <w:pStyle w:val="1258"/>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11.3响应单位针对本项目的服务方案；</w:t>
      </w:r>
      <w:r>
        <w:rPr>
          <w:highlight w:val="none"/>
        </w:rPr>
      </w:r>
      <w:r/>
    </w:p>
    <w:p>
      <w:pPr>
        <w:pStyle w:val="879"/>
        <w:ind w:firstLine="480"/>
        <w:spacing w:line="360" w:lineRule="auto"/>
        <w:tabs>
          <w:tab w:val="left" w:pos="753" w:leader="none"/>
        </w:tabs>
        <w:rPr>
          <w:rFonts w:ascii="宋体" w:hAnsi="宋体" w:cs="宋体"/>
          <w:b/>
          <w:bCs/>
          <w:color w:val="000000"/>
          <w:sz w:val="24"/>
          <w:highlight w:val="none"/>
        </w:rPr>
      </w:pPr>
      <w:r>
        <w:rPr>
          <w:rFonts w:hint="eastAsia" w:ascii="宋体" w:hAnsi="宋体" w:cs="宋体"/>
          <w:color w:val="000000"/>
          <w:sz w:val="24"/>
          <w:highlight w:val="none"/>
        </w:rPr>
        <w:t xml:space="preserve">注：</w:t>
      </w:r>
      <w:r>
        <w:rPr>
          <w:rFonts w:hint="eastAsia" w:ascii="宋体" w:hAnsi="宋体" w:cs="宋体"/>
          <w:b/>
          <w:bCs/>
          <w:color w:val="000000"/>
          <w:sz w:val="24"/>
          <w:highlight w:val="none"/>
        </w:rPr>
        <w:t xml:space="preserve">磋商供应商必须上传上述“11.1-11.3”款规定的资料。否则，磋商响应文件将被认定为未实质性响应。</w:t>
      </w:r>
      <w:r>
        <w:rPr>
          <w:highlight w:val="none"/>
        </w:rPr>
      </w:r>
      <w:r/>
    </w:p>
    <w:p>
      <w:pPr>
        <w:pStyle w:val="1259"/>
        <w:ind w:firstLine="422"/>
        <w:spacing w:line="360" w:lineRule="auto"/>
        <w:rPr>
          <w:rFonts w:ascii="宋体" w:hAnsi="宋体" w:cs="宋体"/>
          <w:b/>
          <w:bCs/>
          <w:color w:val="000000"/>
          <w:highlight w:val="none"/>
        </w:rPr>
      </w:pPr>
      <w:r>
        <w:rPr>
          <w:rFonts w:hint="eastAsia" w:ascii="宋体" w:hAnsi="宋体" w:cs="宋体"/>
          <w:b/>
          <w:color w:val="000000"/>
          <w:highlight w:val="none"/>
        </w:rPr>
        <w:t xml:space="preserve">注：</w:t>
      </w:r>
      <w:r>
        <w:rPr>
          <w:rFonts w:hint="eastAsia" w:ascii="宋体" w:hAnsi="宋体" w:cs="宋体"/>
          <w:b/>
          <w:bCs/>
          <w:color w:val="000000"/>
          <w:highlight w:val="none"/>
        </w:rPr>
        <w:t xml:space="preserve">（1）以上11.2.6.1-11.2.6.6为资格审查要求提供的材料，是作为对供应商资格审查、质疑身份认定的依据，响应供应商必须提供并加盖电子公章。否则，磋商响应文件将被认定为不符合资格审查要求。</w:t>
      </w:r>
      <w:r>
        <w:rPr>
          <w:highlight w:val="none"/>
        </w:rPr>
      </w:r>
      <w:r/>
    </w:p>
    <w:p>
      <w:pPr>
        <w:pStyle w:val="1259"/>
        <w:spacing w:line="360" w:lineRule="auto"/>
        <w:rPr>
          <w:rFonts w:ascii="宋体" w:hAnsi="宋体" w:cs="宋体"/>
          <w:color w:val="000000"/>
          <w:highlight w:val="none"/>
        </w:rPr>
      </w:pPr>
      <w:r>
        <w:rPr>
          <w:rFonts w:hint="eastAsia" w:ascii="宋体" w:hAnsi="宋体" w:cs="宋体"/>
          <w:b/>
          <w:bCs/>
          <w:color w:val="000000"/>
          <w:highlight w:val="none"/>
        </w:rPr>
        <w:t xml:space="preserve">（2）以上11.1.1-11.2.6为符合性审查须提供的资料，响应供应商必须提供并加盖电子公章。否则，磋商响应文件将被认定为未实质性响应。</w:t>
      </w:r>
      <w:r>
        <w:rPr>
          <w:highlight w:val="none"/>
        </w:rPr>
      </w:r>
      <w:r/>
    </w:p>
    <w:p>
      <w:pPr>
        <w:pStyle w:val="1259"/>
        <w:spacing w:line="360" w:lineRule="auto"/>
        <w:rPr>
          <w:rFonts w:ascii="宋体" w:hAnsi="宋体" w:cs="宋体"/>
          <w:b/>
          <w:bCs/>
          <w:color w:val="000000"/>
          <w:highlight w:val="none"/>
        </w:rPr>
      </w:pPr>
      <w:r>
        <w:rPr>
          <w:rFonts w:hint="eastAsia" w:ascii="宋体" w:hAnsi="宋体" w:cs="宋体"/>
          <w:b/>
          <w:bCs/>
          <w:color w:val="000000"/>
          <w:highlight w:val="none"/>
        </w:rPr>
        <w:t xml:space="preserve">（3）制作电子响应文件时必须与响应文件制作软件目录一一对应，将相关资料上传至相应模块。</w:t>
      </w:r>
      <w:r>
        <w:rPr>
          <w:highlight w:val="none"/>
        </w:rPr>
      </w:r>
      <w:r/>
    </w:p>
    <w:p>
      <w:pPr>
        <w:pStyle w:val="1259"/>
        <w:spacing w:line="360" w:lineRule="auto"/>
        <w:rPr>
          <w:rFonts w:ascii="宋体" w:hAnsi="宋体" w:cs="宋体"/>
          <w:bCs/>
          <w:color w:val="000000"/>
          <w:highlight w:val="none"/>
        </w:rPr>
      </w:pPr>
      <w:r>
        <w:rPr>
          <w:rFonts w:hint="eastAsia" w:ascii="宋体" w:hAnsi="宋体" w:cs="宋体"/>
          <w:b/>
          <w:color w:val="000000"/>
          <w:highlight w:val="none"/>
        </w:rPr>
        <w:t xml:space="preserve">（4）磋商响应文件编制要求：</w:t>
      </w:r>
      <w:r>
        <w:rPr>
          <w:rFonts w:hint="eastAsia" w:ascii="宋体" w:hAnsi="宋体" w:cs="宋体"/>
          <w:bCs/>
          <w:color w:val="000000"/>
          <w:highlight w:val="none"/>
        </w:rPr>
        <w:t xml:space="preserve">本项目采用电子招投标形式，请供应商按照《苏采云系统供应商操作手册》进行制作、上传电子响应文件。</w:t>
      </w:r>
      <w:r>
        <w:rPr>
          <w:rFonts w:hint="eastAsia" w:ascii="宋体" w:hAnsi="宋体" w:cs="宋体"/>
          <w:b/>
          <w:bCs/>
          <w:color w:val="000000"/>
          <w:highlight w:val="none"/>
        </w:rPr>
        <w:t xml:space="preserve">电子响应文件制作完成后请于响应文件递交截止时间前成功上传至“苏采云”系统，否则视为放弃参加该采购项目。</w:t>
      </w:r>
      <w:r>
        <w:rPr>
          <w:rFonts w:hint="eastAsia" w:ascii="宋体" w:hAnsi="宋体" w:cs="宋体"/>
          <w:bCs/>
          <w:color w:val="000000"/>
          <w:highlight w:val="none"/>
        </w:rPr>
        <w:t xml:space="preserve">供应商应充分考虑到网络环境、网络带宽等风险因素，如因供应商自身原因造成的电子响应文件上传不成功由供应商自行承担全部责任。</w:t>
      </w:r>
      <w:r>
        <w:rPr>
          <w:highlight w:val="none"/>
        </w:rPr>
      </w:r>
      <w:r/>
    </w:p>
    <w:p>
      <w:pPr>
        <w:pStyle w:val="879"/>
        <w:ind w:firstLine="241"/>
        <w:spacing w:line="360" w:lineRule="auto"/>
        <w:tabs>
          <w:tab w:val="left" w:pos="753" w:leader="none"/>
        </w:tabs>
        <w:rPr>
          <w:rFonts w:ascii="宋体" w:hAnsi="宋体" w:cs="宋体"/>
          <w:b/>
          <w:color w:val="000000"/>
          <w:sz w:val="24"/>
          <w:highlight w:val="none"/>
        </w:rPr>
      </w:pPr>
      <w:r>
        <w:rPr>
          <w:rFonts w:hint="eastAsia" w:ascii="宋体" w:hAnsi="宋体" w:cs="宋体"/>
          <w:b/>
          <w:color w:val="000000"/>
          <w:sz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highlight w:val="none"/>
        </w:rPr>
      </w:r>
      <w:r/>
    </w:p>
    <w:p>
      <w:pPr>
        <w:pStyle w:val="879"/>
        <w:ind w:firstLine="241"/>
        <w:spacing w:line="360" w:lineRule="auto"/>
        <w:tabs>
          <w:tab w:val="left" w:pos="753" w:leader="none"/>
        </w:tabs>
        <w:rPr>
          <w:rFonts w:ascii="宋体" w:hAnsi="宋体" w:cs="宋体"/>
          <w:b/>
          <w:color w:val="000000"/>
          <w:sz w:val="24"/>
          <w:highlight w:val="none"/>
        </w:rPr>
      </w:pPr>
      <w:r>
        <w:rPr>
          <w:rFonts w:hint="eastAsia" w:ascii="宋体" w:hAnsi="宋体" w:cs="宋体"/>
          <w:b/>
          <w:color w:val="000000"/>
          <w:sz w:val="24"/>
          <w:highlight w:val="none"/>
        </w:rPr>
        <w:t xml:space="preserve">（6）在“苏采云”系统中出现供应商“机器码一致”情形的，响应文件将被拒绝。</w:t>
      </w:r>
      <w:r>
        <w:rPr>
          <w:highlight w:val="none"/>
        </w:rPr>
      </w:r>
      <w:r/>
    </w:p>
    <w:p>
      <w:pPr>
        <w:pStyle w:val="879"/>
        <w:ind w:firstLine="241"/>
        <w:spacing w:line="360" w:lineRule="auto"/>
        <w:tabs>
          <w:tab w:val="left" w:pos="753" w:leader="none"/>
        </w:tabs>
        <w:rPr>
          <w:rFonts w:ascii="宋体" w:hAnsi="宋体" w:cs="宋体"/>
          <w:color w:val="000000"/>
          <w:highlight w:val="none"/>
        </w:rPr>
      </w:pPr>
      <w:r>
        <w:rPr>
          <w:rFonts w:hint="eastAsia" w:ascii="宋体" w:hAnsi="宋体" w:cs="宋体"/>
          <w:b/>
          <w:color w:val="000000"/>
          <w:sz w:val="24"/>
          <w:highlight w:val="none"/>
        </w:rPr>
        <w:t xml:space="preserve">（7）项目评标结束后所有供应商须向采购代理机构提交响应文件纸质版，份数为四份（一正三副）。纸质响应文件与上传的电子响应文件一致，用于存档备案。（邮寄地址东太湖路66号威仪工园2号楼217室，联系人：孙继伟，联系电话：13063718760）</w:t>
      </w:r>
      <w:r>
        <w:rPr>
          <w:highlight w:val="none"/>
        </w:rPr>
      </w:r>
      <w:r/>
    </w:p>
    <w:p>
      <w:pPr>
        <w:pStyle w:val="879"/>
        <w:ind w:firstLine="480"/>
        <w:spacing w:line="360" w:lineRule="auto"/>
        <w:tabs>
          <w:tab w:val="left" w:pos="8930" w:leader="none"/>
          <w:tab w:val="left" w:pos="9306"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12.报价（编制）要求的说明</w:t>
      </w:r>
      <w:r>
        <w:rPr>
          <w:highlight w:val="none"/>
        </w:rPr>
      </w:r>
      <w:r/>
    </w:p>
    <w:p>
      <w:pPr>
        <w:pStyle w:val="879"/>
        <w:ind w:firstLine="480"/>
        <w:spacing w:line="360" w:lineRule="auto"/>
        <w:tabs>
          <w:tab w:val="left" w:pos="8930" w:leader="none"/>
          <w:tab w:val="left" w:pos="9306" w:leader="none"/>
        </w:tabs>
        <w:rPr>
          <w:rFonts w:hint="eastAsia" w:ascii="宋体" w:hAnsi="宋体" w:cs="宋体"/>
          <w:color w:val="000000"/>
          <w:sz w:val="24"/>
          <w:highlight w:val="none"/>
        </w:rPr>
      </w:pPr>
      <w:r>
        <w:rPr>
          <w:highlight w:val="none"/>
        </w:rPr>
      </w:r>
      <w:bookmarkStart w:id="7" w:name="_Toc14166"/>
      <w:r>
        <w:rPr>
          <w:rFonts w:hint="eastAsia" w:ascii="宋体" w:hAnsi="宋体" w:cs="宋体"/>
          <w:color w:val="000000"/>
          <w:sz w:val="24"/>
          <w:highlight w:val="none"/>
        </w:rPr>
        <w:t xml:space="preserve">12.1根据提供的磋商文件、服务清单及有关资料单独编制相关项目实施的磋商报价并汇总填入《分项报价明细表》。</w:t>
      </w:r>
      <w:bookmarkEnd w:id="7"/>
      <w:r>
        <w:rPr>
          <w:highlight w:val="none"/>
        </w:rPr>
      </w:r>
      <w:r/>
    </w:p>
    <w:p>
      <w:pPr>
        <w:pStyle w:val="879"/>
        <w:ind w:firstLine="480"/>
        <w:spacing w:line="360" w:lineRule="auto"/>
        <w:tabs>
          <w:tab w:val="left" w:pos="8930" w:leader="none"/>
          <w:tab w:val="left" w:pos="9306" w:leader="none"/>
        </w:tabs>
        <w:rPr>
          <w:rFonts w:hint="eastAsia" w:ascii="宋体" w:hAnsi="宋体" w:cs="宋体"/>
          <w:color w:val="000000"/>
          <w:sz w:val="24"/>
          <w:highlight w:val="none"/>
        </w:rPr>
      </w:pPr>
      <w:r>
        <w:rPr>
          <w:highlight w:val="none"/>
        </w:rPr>
      </w:r>
      <w:bookmarkStart w:id="8" w:name="_Toc5748"/>
      <w:r>
        <w:rPr>
          <w:rFonts w:hint="eastAsia" w:ascii="宋体" w:hAnsi="宋体" w:cs="宋体"/>
          <w:color w:val="000000"/>
          <w:sz w:val="24"/>
          <w:highlight w:val="none"/>
        </w:rPr>
        <w:t xml:space="preserve">12.2《分项报价明细表》中标的物顺序和数量均应按本磋商文件提供的清单编制。如发现响应报价中有错算现象，一旦成交，磋商供应商自行承担错算这部分的经济损失</w:t>
      </w:r>
      <w:bookmarkEnd w:id="8"/>
      <w:r>
        <w:rPr>
          <w:rFonts w:hint="eastAsia" w:ascii="宋体" w:hAnsi="宋体" w:cs="宋体"/>
          <w:color w:val="000000"/>
          <w:sz w:val="24"/>
          <w:highlight w:val="none"/>
        </w:rPr>
        <w:t xml:space="preserve">。</w:t>
      </w:r>
      <w:r>
        <w:rPr>
          <w:highlight w:val="none"/>
        </w:rPr>
      </w:r>
      <w:r/>
    </w:p>
    <w:p>
      <w:pPr>
        <w:pStyle w:val="879"/>
        <w:ind w:firstLine="480"/>
        <w:spacing w:line="360" w:lineRule="auto"/>
        <w:tabs>
          <w:tab w:val="left" w:pos="8930" w:leader="none"/>
          <w:tab w:val="left" w:pos="9306" w:leader="none"/>
        </w:tabs>
        <w:rPr>
          <w:rFonts w:hint="eastAsia" w:ascii="宋体" w:hAnsi="宋体" w:cs="宋体"/>
          <w:color w:val="000000"/>
          <w:sz w:val="24"/>
          <w:highlight w:val="none"/>
        </w:rPr>
      </w:pPr>
      <w:r>
        <w:rPr>
          <w:highlight w:val="none"/>
        </w:rPr>
      </w:r>
      <w:bookmarkStart w:id="9" w:name="_Toc24886"/>
      <w:r>
        <w:rPr>
          <w:rFonts w:hint="eastAsia" w:ascii="宋体" w:hAnsi="宋体" w:cs="宋体"/>
          <w:color w:val="000000"/>
          <w:sz w:val="24"/>
          <w:highlight w:val="none"/>
        </w:rPr>
        <w:t xml:space="preserve">本项目采用线上二次报价：</w:t>
      </w:r>
      <w:bookmarkEnd w:id="9"/>
      <w:r>
        <w:rPr>
          <w:highlight w:val="none"/>
        </w:rPr>
      </w:r>
      <w:r/>
    </w:p>
    <w:p>
      <w:pPr>
        <w:pStyle w:val="879"/>
        <w:ind w:firstLine="408"/>
        <w:spacing w:line="360" w:lineRule="auto"/>
        <w:rPr>
          <w:rFonts w:ascii="宋体" w:hAnsi="宋体" w:cs="宋体"/>
          <w:color w:val="000000"/>
          <w:sz w:val="24"/>
          <w:highlight w:val="none"/>
        </w:rPr>
        <w:outlineLvl w:val="0"/>
      </w:pPr>
      <w:r>
        <w:rPr>
          <w:highlight w:val="none"/>
        </w:rPr>
      </w:r>
      <w:bookmarkStart w:id="10" w:name="_Toc1802"/>
      <w:r>
        <w:rPr>
          <w:rFonts w:hint="eastAsia" w:ascii="宋体" w:hAnsi="宋体" w:cs="宋体"/>
          <w:bCs/>
          <w:color w:val="000000"/>
          <w:sz w:val="24"/>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bookmarkEnd w:id="10"/>
      <w:r>
        <w:rPr>
          <w:highlight w:val="none"/>
        </w:rPr>
      </w:r>
      <w:r/>
    </w:p>
    <w:p>
      <w:pPr>
        <w:pStyle w:val="879"/>
        <w:ind w:firstLine="482"/>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b/>
          <w:bCs/>
          <w:color w:val="000000"/>
          <w:sz w:val="24"/>
          <w:highlight w:val="none"/>
        </w:rPr>
        <w:t xml:space="preserve">进入项目评审流程后，建议各供应商法定代表人或授权委托人始终保持通讯顺畅，时刻关注不见面开标大厅，不离开不见面开标大厅。</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12.2磋商供应商应对采购文件内所要采购的全部内容进行总价报价，只投其中部分内容者，其响应文件将被拒绝。但如果采购文件要求分标段响应的，则供应商可以有选择地只投其中一个或几个标段，也可以投全部标段，但各标段应分别计算填写单价和总价。本次采购不分标段。</w:t>
      </w:r>
      <w:r>
        <w:rPr>
          <w:highlight w:val="none"/>
        </w:rPr>
      </w:r>
      <w:r/>
    </w:p>
    <w:p>
      <w:pPr>
        <w:pStyle w:val="879"/>
        <w:ind w:firstLine="480"/>
        <w:spacing w:line="360" w:lineRule="auto"/>
        <w:tabs>
          <w:tab w:val="left" w:pos="8930" w:leader="none"/>
          <w:tab w:val="left" w:pos="9306" w:leader="none"/>
        </w:tabs>
        <w:rPr>
          <w:rFonts w:ascii="宋体" w:hAnsi="宋体" w:cs="宋体"/>
          <w:sz w:val="24"/>
          <w:highlight w:val="none"/>
        </w:rPr>
      </w:pPr>
      <w:r>
        <w:rPr>
          <w:rFonts w:hint="eastAsia" w:ascii="宋体" w:hAnsi="宋体" w:cs="宋体"/>
          <w:sz w:val="24"/>
          <w:highlight w:val="none"/>
        </w:rPr>
        <w:t xml:space="preserve">12.3一项内容只允许一个报价，采购单位不接受任何有选择性的报价。各供应商根据竞争性磋商文件的规定，结合企业自身管理水平及市场行情自主报价，</w:t>
      </w:r>
      <w:r>
        <w:rPr>
          <w:rFonts w:hint="eastAsia" w:ascii="宋体" w:hAnsi="宋体" w:cs="宋体"/>
          <w:b/>
          <w:bCs/>
          <w:sz w:val="24"/>
          <w:highlight w:val="none"/>
          <w:lang w:val="en-US" w:eastAsia="zh-CN"/>
        </w:rPr>
        <w:t xml:space="preserve">报价</w:t>
      </w:r>
      <w:r>
        <w:rPr>
          <w:rFonts w:hint="eastAsia" w:ascii="宋体" w:hAnsi="宋体" w:cs="宋体"/>
          <w:b/>
          <w:bCs/>
          <w:sz w:val="24"/>
          <w:highlight w:val="none"/>
        </w:rPr>
        <w:t xml:space="preserve">均不得超过项目预算（最高限价）</w:t>
      </w:r>
      <w:r>
        <w:rPr>
          <w:rFonts w:hint="eastAsia" w:ascii="宋体" w:hAnsi="宋体" w:cs="宋体"/>
          <w:sz w:val="24"/>
          <w:highlight w:val="none"/>
        </w:rPr>
        <w:t xml:space="preserve">。凡因供应商对竞争性磋商文件阅读疏忽或误解，或因对现场、环境、市场行情等了解不清而造成的后果和风险，由供应商负责；如供应商因此而提出索赔或交货期延长，采购人将不予批准。</w:t>
      </w:r>
      <w:r>
        <w:rPr>
          <w:highlight w:val="none"/>
        </w:rPr>
      </w:r>
      <w:r/>
    </w:p>
    <w:p>
      <w:pPr>
        <w:pStyle w:val="879"/>
        <w:ind w:firstLine="480"/>
        <w:spacing w:line="360" w:lineRule="auto"/>
        <w:tabs>
          <w:tab w:val="left" w:pos="8930" w:leader="none"/>
          <w:tab w:val="left" w:pos="9306" w:leader="none"/>
        </w:tabs>
        <w:rPr>
          <w:rFonts w:ascii="宋体" w:hAnsi="宋体" w:cs="宋体"/>
          <w:sz w:val="24"/>
          <w:highlight w:val="none"/>
        </w:rPr>
      </w:pPr>
      <w:r>
        <w:rPr>
          <w:rFonts w:hint="eastAsia" w:ascii="宋体" w:hAnsi="宋体" w:cs="宋体"/>
          <w:sz w:val="24"/>
          <w:highlight w:val="none"/>
        </w:rPr>
        <w:t xml:space="preserve">12.4磋商响应文件报价中的单价和总价全部采用人民币表示，除非合同的特殊条款另有规定。价格条件为项目现场完税价，报价含增值税和其他税费、保险费及其它伴随费用之和。</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13.保证金</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根据《江苏省财政厅文件苏财购【2020】52号》相关规定，本项目无须支付保证金。</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14.响应文件的有效期</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14.1自磋商响应文件递交（上传）截止之日起</w:t>
      </w:r>
      <w:r>
        <w:rPr>
          <w:rFonts w:hint="eastAsia" w:ascii="宋体" w:hAnsi="宋体" w:cs="宋体"/>
          <w:color w:val="000000"/>
          <w:sz w:val="24"/>
          <w:highlight w:val="none"/>
          <w:u w:val="single"/>
        </w:rPr>
        <w:t xml:space="preserve">45</w:t>
      </w:r>
      <w:r>
        <w:rPr>
          <w:rFonts w:hint="eastAsia" w:ascii="宋体" w:hAnsi="宋体" w:cs="宋体"/>
          <w:color w:val="000000"/>
          <w:sz w:val="24"/>
          <w:highlight w:val="none"/>
        </w:rPr>
        <w:t xml:space="preserve">天内，磋商响应文件应保持有效。有效期短于这个规定期限的响应，将被拒绝。</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15.截止时间</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15.1响应文件必须在递交（上传）截止时间前上传系统。</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15.2采购单位推迟磋商截止时间时，应以网上公告形式，通知所有供应商。在这种情况下，采购单位和供应商的权利和义务将受到新的截止期的约束。</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15.3在递交（上传）截止时间以后递交（上传）的磋商响应文件，采购单位将拒绝接收。</w:t>
      </w:r>
      <w:r>
        <w:rPr>
          <w:highlight w:val="none"/>
        </w:rPr>
      </w:r>
      <w:r/>
    </w:p>
    <w:p>
      <w:pPr>
        <w:pStyle w:val="879"/>
        <w:spacing w:line="360" w:lineRule="auto"/>
        <w:tabs>
          <w:tab w:val="left" w:pos="753" w:leader="none"/>
        </w:tabs>
        <w:rPr>
          <w:rFonts w:ascii="宋体" w:hAnsi="宋体" w:cs="宋体"/>
          <w:b/>
          <w:color w:val="000000"/>
          <w:sz w:val="24"/>
          <w:highlight w:val="none"/>
        </w:rPr>
      </w:pPr>
      <w:r>
        <w:rPr>
          <w:rFonts w:hint="eastAsia" w:ascii="宋体" w:hAnsi="宋体" w:cs="宋体"/>
          <w:b/>
          <w:color w:val="000000"/>
          <w:sz w:val="24"/>
          <w:highlight w:val="none"/>
        </w:rPr>
        <w:t xml:space="preserve">16. 磋商程序</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16.1采购代理机构按本须知规定的时间、地点主持磋商采购活动。</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16.3由磋商小组审查供应商解密的响应文件。</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pStyle w:val="879"/>
        <w:ind w:firstLine="480"/>
        <w:spacing w:line="360" w:lineRule="auto"/>
        <w:tabs>
          <w:tab w:val="left" w:pos="753"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6.</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评审过程中出现下列情形之一的，</w:t>
      </w:r>
      <w:r>
        <w:rPr>
          <w:rFonts w:hint="eastAsia" w:ascii="宋体" w:hAnsi="宋体" w:cs="宋体"/>
          <w:b/>
          <w:bCs/>
          <w:color w:val="000000"/>
          <w:sz w:val="24"/>
          <w:highlight w:val="none"/>
          <w:lang w:eastAsia="zh-CN"/>
        </w:rPr>
        <w:t xml:space="preserve">磋商小组</w:t>
      </w:r>
      <w:r>
        <w:rPr>
          <w:rFonts w:hint="eastAsia" w:ascii="宋体" w:hAnsi="宋体" w:cs="宋体"/>
          <w:b/>
          <w:bCs/>
          <w:color w:val="000000"/>
          <w:sz w:val="24"/>
          <w:highlight w:val="none"/>
        </w:rPr>
        <w:t xml:space="preserve">应当启动异常低价投标（响应）审查程序：</w:t>
      </w:r>
      <w:r>
        <w:rPr>
          <w:highlight w:val="none"/>
        </w:rPr>
      </w:r>
      <w:r/>
    </w:p>
    <w:p>
      <w:pPr>
        <w:pStyle w:val="879"/>
        <w:ind w:firstLine="480"/>
        <w:spacing w:line="360" w:lineRule="auto"/>
        <w:tabs>
          <w:tab w:val="left" w:pos="753"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16.5.</w:t>
      </w:r>
      <w:r>
        <w:rPr>
          <w:rFonts w:hint="eastAsia" w:ascii="宋体" w:hAnsi="宋体" w:cs="宋体"/>
          <w:b/>
          <w:bCs/>
          <w:color w:val="000000"/>
          <w:sz w:val="24"/>
          <w:highlight w:val="none"/>
        </w:rPr>
        <w:t xml:space="preserve">1．投标（响应）报价低于采购项目预算50%的，即投标（响应）报价&lt;采购项目预算×50%；</w:t>
      </w:r>
      <w:r>
        <w:rPr>
          <w:highlight w:val="none"/>
        </w:rPr>
      </w:r>
      <w:r/>
    </w:p>
    <w:p>
      <w:pPr>
        <w:pStyle w:val="879"/>
        <w:ind w:firstLine="480"/>
        <w:spacing w:line="360" w:lineRule="auto"/>
        <w:tabs>
          <w:tab w:val="left" w:pos="753"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16.5.</w:t>
      </w:r>
      <w:r>
        <w:rPr>
          <w:rFonts w:hint="eastAsia" w:ascii="宋体" w:hAnsi="宋体" w:cs="宋体"/>
          <w:b/>
          <w:bCs/>
          <w:color w:val="000000"/>
          <w:sz w:val="24"/>
          <w:highlight w:val="none"/>
        </w:rPr>
        <w:t xml:space="preserve">2．投标（响应）报价低于采购项目最高限价45%的，即投标（响应）报价&lt;采购项目最高限价×45%；</w:t>
      </w:r>
      <w:r>
        <w:rPr>
          <w:highlight w:val="none"/>
        </w:rPr>
      </w:r>
      <w:r/>
    </w:p>
    <w:p>
      <w:pPr>
        <w:pStyle w:val="879"/>
        <w:ind w:firstLine="480"/>
        <w:spacing w:line="360" w:lineRule="auto"/>
        <w:tabs>
          <w:tab w:val="left" w:pos="753"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16.5.</w:t>
      </w: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eastAsia="zh-CN"/>
        </w:rPr>
        <w:t xml:space="preserve">磋商小组</w:t>
      </w:r>
      <w:r>
        <w:rPr>
          <w:rFonts w:hint="eastAsia" w:ascii="宋体" w:hAnsi="宋体" w:cs="宋体"/>
          <w:b/>
          <w:bCs/>
          <w:color w:val="000000"/>
          <w:sz w:val="24"/>
          <w:highlight w:val="none"/>
        </w:rPr>
        <w:t xml:space="preserve">认定的供应商报价过低、有可能影响产品质量或者不能诚信履约的其他情形。</w:t>
      </w:r>
      <w:r>
        <w:rPr>
          <w:highlight w:val="none"/>
        </w:rPr>
      </w:r>
      <w:r/>
    </w:p>
    <w:p>
      <w:pPr>
        <w:pStyle w:val="879"/>
        <w:ind w:firstLine="480"/>
        <w:spacing w:line="360" w:lineRule="auto"/>
        <w:tabs>
          <w:tab w:val="left" w:pos="753"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启动异常低价投标（响应）审查后，</w:t>
      </w:r>
      <w:r>
        <w:rPr>
          <w:rFonts w:hint="eastAsia" w:ascii="宋体" w:hAnsi="宋体" w:cs="宋体"/>
          <w:b/>
          <w:bCs/>
          <w:color w:val="000000"/>
          <w:sz w:val="24"/>
          <w:highlight w:val="none"/>
          <w:lang w:eastAsia="zh-CN"/>
        </w:rPr>
        <w:t xml:space="preserve">磋商小组</w:t>
      </w:r>
      <w:r>
        <w:rPr>
          <w:rFonts w:hint="eastAsia" w:ascii="宋体" w:hAnsi="宋体" w:cs="宋体"/>
          <w:b/>
          <w:bCs/>
          <w:color w:val="000000"/>
          <w:sz w:val="24"/>
          <w:highlight w:val="none"/>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bCs/>
          <w:color w:val="000000"/>
          <w:sz w:val="24"/>
          <w:highlight w:val="none"/>
          <w:lang w:eastAsia="zh-CN"/>
        </w:rPr>
        <w:t xml:space="preserve">磋商小组</w:t>
      </w:r>
      <w:r>
        <w:rPr>
          <w:rFonts w:hint="eastAsia" w:ascii="宋体" w:hAnsi="宋体" w:cs="宋体"/>
          <w:b/>
          <w:bCs/>
          <w:color w:val="000000"/>
          <w:sz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color w:val="000000"/>
          <w:sz w:val="24"/>
          <w:highlight w:val="none"/>
          <w:lang w:eastAsia="zh-CN"/>
        </w:rPr>
        <w:t xml:space="preserve">磋商小组</w:t>
      </w:r>
      <w:r>
        <w:rPr>
          <w:rFonts w:hint="eastAsia" w:ascii="宋体" w:hAnsi="宋体" w:cs="宋体"/>
          <w:b/>
          <w:bCs/>
          <w:color w:val="000000"/>
          <w:sz w:val="24"/>
          <w:highlight w:val="none"/>
        </w:rPr>
        <w:t xml:space="preserve">应当将其作为无效投标（响应）处理。审查相关情况应当在评审报告中进行记录。</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highlight w:val="none"/>
        </w:rPr>
      </w:r>
      <w:r/>
    </w:p>
    <w:p>
      <w:pPr>
        <w:pStyle w:val="879"/>
        <w:ind w:firstLine="482"/>
        <w:spacing w:line="360" w:lineRule="auto"/>
        <w:tabs>
          <w:tab w:val="left" w:pos="753" w:leader="none"/>
        </w:tabs>
        <w:rPr>
          <w:rFonts w:ascii="宋体" w:hAnsi="宋体" w:cs="宋体"/>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000000"/>
          <w:sz w:val="24"/>
          <w:highlight w:val="none"/>
        </w:rPr>
        <w:t xml:space="preserve">磋商小组通过“苏采云”系统向供应商发布“磋商函”，供应商应当按照要求在“苏采云”系统提交“磋商响应函”并加盖CA电子公章。</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供应商应当按照采购文件的变动情况和磋商小组的要求，各供应商应及时关注【评审】环节等待询标澄清进行回复。</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磋商结束后，</w:t>
      </w:r>
      <w:r>
        <w:rPr>
          <w:rFonts w:hint="eastAsia" w:ascii="宋体" w:hAnsi="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color w:val="000000"/>
          <w:sz w:val="24"/>
          <w:highlight w:val="none"/>
        </w:rPr>
        <w:t xml:space="preserve">16.1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磋商小组根据磋商成交原则确定成交供应商，并将结果通知所有参加磋商的供应商。若出现违反政府采购相关法律、法规或采购文件中的明确要求等情形，由此导致成交结果无效或合同解除的，供应商要承担由此引起的违约责任，并赔偿采购人因此遭受的所有损失。</w:t>
      </w:r>
      <w:r>
        <w:rPr>
          <w:highlight w:val="none"/>
        </w:rPr>
      </w:r>
      <w:r/>
    </w:p>
    <w:p>
      <w:pPr>
        <w:pStyle w:val="879"/>
        <w:ind w:firstLine="480"/>
        <w:spacing w:line="360" w:lineRule="auto"/>
        <w:tabs>
          <w:tab w:val="left" w:pos="753" w:leader="none"/>
        </w:tabs>
        <w:rPr>
          <w:rFonts w:ascii="宋体" w:hAnsi="宋体" w:cs="宋体"/>
          <w:b/>
          <w:bCs/>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如磋商过程中出现本采购文件未尽事宜，由磋商小组根据政府采购有关法律、法规讨论决定。</w:t>
      </w:r>
      <w:r>
        <w:rPr>
          <w:highlight w:val="none"/>
        </w:rPr>
      </w:r>
      <w:r/>
    </w:p>
    <w:p>
      <w:pPr>
        <w:pStyle w:val="879"/>
        <w:ind w:firstLine="480"/>
        <w:spacing w:line="360" w:lineRule="auto"/>
        <w:tabs>
          <w:tab w:val="left" w:pos="753" w:leader="none"/>
        </w:tabs>
        <w:rPr>
          <w:rFonts w:ascii="宋体" w:hAnsi="宋体" w:cs="宋体"/>
          <w:b/>
          <w:bCs/>
          <w:sz w:val="24"/>
          <w:highlight w:val="none"/>
        </w:rPr>
      </w:pPr>
      <w:r>
        <w:rPr>
          <w:rFonts w:hint="eastAsia" w:ascii="宋体" w:hAnsi="宋体" w:cs="宋体"/>
          <w:sz w:val="24"/>
          <w:highlight w:val="none"/>
        </w:rPr>
        <w:t xml:space="preserve">16.1</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竞争性磋商文件的解释权归采购代理机构，如发现竞争性磋商文件内容与现行法律法规不相符的情况，以现行法律法规为准。</w:t>
      </w:r>
      <w:r>
        <w:rPr>
          <w:highlight w:val="none"/>
        </w:rPr>
      </w:r>
      <w:r/>
    </w:p>
    <w:p>
      <w:pPr>
        <w:pStyle w:val="87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17.项目的终止</w:t>
      </w:r>
      <w:r>
        <w:rPr>
          <w:highlight w:val="none"/>
        </w:rPr>
      </w:r>
      <w:r/>
    </w:p>
    <w:p>
      <w:pPr>
        <w:pStyle w:val="87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17.1出现下列情形之一的，将终止竞争性磋商采购活动：</w:t>
      </w:r>
      <w:r>
        <w:rPr>
          <w:highlight w:val="none"/>
        </w:rPr>
      </w:r>
      <w:r/>
    </w:p>
    <w:p>
      <w:pPr>
        <w:pStyle w:val="87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17.1.1因情况变化，不再符合规定的竞争性磋商采购方式适用情形的；</w:t>
      </w:r>
      <w:r>
        <w:rPr>
          <w:highlight w:val="none"/>
        </w:rPr>
      </w:r>
      <w:r/>
    </w:p>
    <w:p>
      <w:pPr>
        <w:pStyle w:val="87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17.1.2出现影响采购公正的违法、违规行为的；</w:t>
      </w:r>
      <w:r>
        <w:rPr>
          <w:highlight w:val="none"/>
        </w:rPr>
      </w:r>
      <w:r/>
    </w:p>
    <w:p>
      <w:pPr>
        <w:pStyle w:val="87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17.1.3在采购过程中符合要求的供应商或者报价未超过采购预算的供应商不足3家的；</w:t>
      </w:r>
      <w:r>
        <w:rPr>
          <w:highlight w:val="none"/>
        </w:rPr>
      </w:r>
      <w:r/>
    </w:p>
    <w:p>
      <w:pPr>
        <w:pStyle w:val="879"/>
        <w:ind w:firstLine="480"/>
        <w:spacing w:line="360" w:lineRule="auto"/>
        <w:tabs>
          <w:tab w:val="left" w:pos="753" w:leader="none"/>
        </w:tabs>
        <w:rPr>
          <w:rFonts w:ascii="宋体" w:hAnsi="宋体" w:cs="宋体"/>
          <w:color w:val="000000"/>
          <w:sz w:val="24"/>
          <w:highlight w:val="none"/>
        </w:rPr>
      </w:pPr>
      <w:r>
        <w:rPr>
          <w:rFonts w:hint="eastAsia" w:ascii="宋体" w:hAnsi="宋体" w:cs="宋体"/>
          <w:bCs/>
          <w:color w:val="000000"/>
          <w:sz w:val="24"/>
          <w:highlight w:val="none"/>
        </w:rPr>
        <w:t xml:space="preserve">17.1.4在采购活动中因重大变故，采购任务取消的。</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18.评审内容的保密</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18.1磋商开始后，直到宣布授予成交单位合同为止，凡属于审查、澄清、评价和比较磋商响应文件的所有资料，有关授予合同的信息都不应向磋商供应商或与评审无关的其他人泄露。供应商在此期间应保持信息的保密性，未经许可不得擅自发布或公开与磋商相关的任何信息，违者应承担相应的法律责任。</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18.2在磋商响应文件的审查、澄清、评价和比较以及授予合同的过程中，磋商供应商对采购单位和磋商小组施加影响的任何行为，都将取消其成交资格。</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18.3在评审期间，采购单位将通过指定联络人与磋商供应商进行联系。</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19.成交单位的确认</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19.1磋商小组根据磋商供应商资格审查情况，对其响应文件进行评价和比较，按照评审办法和标准进行评审，并按采购单位的委托向采购单位推荐成交候选单位。</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19.2</w:t>
      </w:r>
      <w:r>
        <w:rPr>
          <w:rFonts w:hint="eastAsia" w:ascii="宋体" w:hAnsi="宋体" w:cs="宋体"/>
          <w:color w:val="000000"/>
          <w:sz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19.3</w:t>
      </w:r>
      <w:r>
        <w:rPr>
          <w:rFonts w:hint="eastAsia" w:ascii="宋体" w:hAnsi="宋体" w:cs="宋体"/>
          <w:bCs/>
          <w:color w:val="000000"/>
          <w:sz w:val="24"/>
          <w:highlight w:val="none"/>
        </w:rPr>
        <w:t xml:space="preserve">由采购人</w:t>
      </w:r>
      <w:r>
        <w:rPr>
          <w:rFonts w:hint="eastAsia" w:ascii="宋体" w:hAnsi="宋体" w:cs="宋体"/>
          <w:bCs/>
          <w:color w:val="000000"/>
          <w:sz w:val="24"/>
          <w:highlight w:val="none"/>
          <w:lang w:val="en-US" w:eastAsia="zh-CN"/>
        </w:rPr>
        <w:t xml:space="preserve">在磋商小组推荐的成交候选单位中</w:t>
      </w:r>
      <w:r>
        <w:rPr>
          <w:rFonts w:hint="eastAsia" w:ascii="宋体" w:hAnsi="宋体" w:cs="宋体"/>
          <w:bCs/>
          <w:color w:val="000000"/>
          <w:sz w:val="24"/>
          <w:highlight w:val="none"/>
        </w:rPr>
        <w:t xml:space="preserve">确定成交供应商。</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20.合同授予标准</w:t>
      </w:r>
      <w:r>
        <w:rPr>
          <w:highlight w:val="none"/>
        </w:rPr>
      </w:r>
      <w:r/>
    </w:p>
    <w:p>
      <w:pPr>
        <w:pStyle w:val="879"/>
        <w:ind w:firstLine="480"/>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color w:val="000000"/>
          <w:sz w:val="24"/>
          <w:highlight w:val="none"/>
        </w:rPr>
        <w:t xml:space="preserve">20.1采购单位将把合同授予其磋商响应文件在实质上响应采购文件要求和按本须知规定评选出的供应商。确定为成交的供应商必须具有实施本合同的能力和资源。</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21.成交通知书</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21.2成交通知书将成为合同的组成部分。</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21.3采购单位对未成交单位不承担解释未成交原因的义务。</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21.4在发放《中标（成交）通知书》的同时，向参与项目评审的未中标（成交）供应商发放《未中标（成交）通知书》，以</w:t>
      </w:r>
      <w:r>
        <w:rPr>
          <w:rFonts w:hint="eastAsia" w:ascii="宋体" w:hAnsi="宋体" w:cs="宋体"/>
          <w:color w:val="000000"/>
          <w:sz w:val="24"/>
          <w:highlight w:val="none"/>
          <w:u w:val="single"/>
        </w:rPr>
        <w:t xml:space="preserve">电子邮件、</w:t>
      </w:r>
      <w:r>
        <w:rPr>
          <w:rFonts w:hint="eastAsia" w:ascii="宋体" w:hAnsi="宋体" w:cs="宋体"/>
          <w:color w:val="000000"/>
          <w:sz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21.5各响应单位应在响应文件醒目位置注明电子邮箱号，如未按上述要求提供邮箱，视为自动放弃并自行承担相应后果。</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21.6成交单位应按成交通知书中规定的时间和地点，由法定代表人或代理人与采购单位代表签订合同。否则按放弃处理。</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21.7签订合同及合同条款应以采购文件和成交单位的磋商响应文件及其澄清文件为依据。</w:t>
      </w:r>
      <w:r>
        <w:rPr>
          <w:highlight w:val="none"/>
        </w:rPr>
      </w:r>
      <w:r/>
    </w:p>
    <w:p>
      <w:pPr>
        <w:pStyle w:val="879"/>
        <w:ind w:firstLine="480"/>
        <w:spacing w:line="360" w:lineRule="auto"/>
        <w:tabs>
          <w:tab w:val="left" w:pos="8930" w:leader="none"/>
          <w:tab w:val="left" w:pos="9306" w:leader="none"/>
        </w:tabs>
        <w:rPr>
          <w:rFonts w:ascii="宋体" w:hAnsi="宋体" w:cs="宋体"/>
          <w:sz w:val="24"/>
          <w:highlight w:val="none"/>
        </w:rPr>
      </w:pPr>
      <w:r>
        <w:rPr>
          <w:rFonts w:hint="eastAsia" w:ascii="宋体" w:hAnsi="宋体" w:cs="宋体"/>
          <w:sz w:val="24"/>
          <w:highlight w:val="none"/>
        </w:rPr>
        <w:t xml:space="preserve">21.8成交单位因自身原因不按规定与采购人签订货物合同，则采购人将废除授标，并由成交单位依法承担相应法律责任。成交供应商因不可抗力或者自身原因不能履行采购合同的，采购人可以与排位在成交供应商之后第一位的成交候选供应商签订采购合同，以此类推，也可以重新开展采购活动。因自身原因拒绝签订采购合同的或者未按合同约定进行履约的，成交人不得参加对该项目重新开展的招标活动。</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22.服务费</w:t>
      </w:r>
      <w:r>
        <w:rPr>
          <w:highlight w:val="none"/>
        </w:rPr>
      </w:r>
      <w:r/>
    </w:p>
    <w:p>
      <w:pPr>
        <w:pStyle w:val="879"/>
        <w:ind w:firstLine="480"/>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color w:val="000000"/>
          <w:sz w:val="24"/>
          <w:highlight w:val="none"/>
        </w:rPr>
        <w:t xml:space="preserve">22.1成交单位须按前附表的规定按其预算金额计算并支付服务费，该费用应在领取成交通知书前付清。</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23.</w:t>
      </w:r>
      <w:r>
        <w:rPr>
          <w:rFonts w:hint="eastAsia" w:ascii="宋体" w:hAnsi="宋体" w:cs="宋体"/>
          <w:b/>
          <w:bCs/>
          <w:color w:val="000000"/>
          <w:sz w:val="24"/>
          <w:highlight w:val="none"/>
        </w:rPr>
        <w:t xml:space="preserve">履约保证金（履约保函）</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无</w:t>
      </w:r>
      <w:r>
        <w:rPr>
          <w:rFonts w:hint="eastAsia" w:ascii="宋体" w:hAnsi="宋体" w:cs="宋体"/>
          <w:bCs/>
          <w:color w:val="000000"/>
          <w:sz w:val="24"/>
          <w:highlight w:val="none"/>
        </w:rPr>
        <w:t xml:space="preserve">。</w:t>
      </w:r>
      <w:r>
        <w:rPr>
          <w:highlight w:val="none"/>
        </w:rPr>
      </w:r>
      <w:r/>
    </w:p>
    <w:p>
      <w:pPr>
        <w:pStyle w:val="879"/>
        <w:spacing w:line="360" w:lineRule="auto"/>
        <w:tabs>
          <w:tab w:val="left" w:pos="8930" w:leader="none"/>
          <w:tab w:val="left" w:pos="9306" w:leader="none"/>
        </w:tabs>
        <w:rPr>
          <w:rFonts w:ascii="宋体" w:hAnsi="宋体" w:cs="宋体"/>
          <w:b/>
          <w:color w:val="000000"/>
          <w:sz w:val="24"/>
          <w:highlight w:val="none"/>
        </w:rPr>
      </w:pPr>
      <w:r>
        <w:rPr>
          <w:rFonts w:hint="eastAsia" w:ascii="宋体" w:hAnsi="宋体" w:cs="宋体"/>
          <w:b/>
          <w:color w:val="000000"/>
          <w:sz w:val="24"/>
          <w:highlight w:val="none"/>
        </w:rPr>
        <w:t xml:space="preserve">24.未尽事宜</w:t>
      </w:r>
      <w:r>
        <w:rPr>
          <w:highlight w:val="none"/>
        </w:rPr>
      </w:r>
      <w:r/>
    </w:p>
    <w:p>
      <w:pPr>
        <w:pStyle w:val="879"/>
        <w:ind w:firstLine="480"/>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按《中华人民共和国政府采购法》及其他有关的法律法规的规定执行。</w:t>
      </w:r>
      <w:r>
        <w:rPr>
          <w:highlight w:val="none"/>
        </w:rPr>
      </w:r>
      <w:r/>
    </w:p>
    <w:p>
      <w:pPr>
        <w:pStyle w:val="1170"/>
        <w:ind w:firstLine="0"/>
        <w:spacing w:line="360" w:lineRule="auto"/>
        <w:rPr>
          <w:rFonts w:ascii="宋体" w:hAnsi="宋体" w:eastAsia="宋体"/>
          <w:b/>
          <w:sz w:val="21"/>
          <w:szCs w:val="21"/>
          <w:highlight w:val="none"/>
        </w:rPr>
        <w:outlineLvl w:val="2"/>
      </w:pPr>
      <w:r>
        <w:rPr>
          <w:rFonts w:ascii="宋体" w:hAnsi="宋体" w:eastAsia="宋体"/>
          <w:b/>
          <w:sz w:val="21"/>
          <w:szCs w:val="21"/>
          <w:highlight w:val="none"/>
        </w:rPr>
      </w:r>
      <w:r>
        <w:rPr>
          <w:highlight w:val="none"/>
        </w:rPr>
      </w:r>
      <w:r/>
    </w:p>
    <w:p>
      <w:pPr>
        <w:pStyle w:val="1170"/>
        <w:ind w:firstLine="0"/>
        <w:spacing w:line="360" w:lineRule="auto"/>
        <w:rPr>
          <w:rFonts w:ascii="宋体" w:hAnsi="宋体" w:eastAsia="宋体"/>
          <w:b/>
          <w:sz w:val="21"/>
          <w:szCs w:val="21"/>
          <w:highlight w:val="none"/>
        </w:rPr>
        <w:outlineLvl w:val="2"/>
      </w:pPr>
      <w:r>
        <w:rPr>
          <w:rFonts w:ascii="宋体" w:hAnsi="宋体" w:eastAsia="宋体"/>
          <w:b/>
          <w:sz w:val="21"/>
          <w:szCs w:val="21"/>
          <w:highlight w:val="none"/>
        </w:rPr>
      </w:r>
      <w:r>
        <w:rPr>
          <w:highlight w:val="none"/>
        </w:rPr>
      </w:r>
      <w:r/>
    </w:p>
    <w:p>
      <w:pPr>
        <w:pStyle w:val="1170"/>
        <w:ind w:firstLine="0"/>
        <w:spacing w:line="360" w:lineRule="auto"/>
        <w:rPr>
          <w:rFonts w:hint="eastAsia" w:ascii="宋体" w:hAnsi="宋体"/>
          <w:highlight w:val="none"/>
        </w:rPr>
        <w:outlineLvl w:val="2"/>
      </w:pPr>
      <w:r>
        <w:rPr>
          <w:rFonts w:ascii="宋体" w:hAnsi="宋体" w:eastAsia="宋体"/>
          <w:b/>
          <w:sz w:val="21"/>
          <w:szCs w:val="21"/>
          <w:highlight w:val="none"/>
        </w:rPr>
        <w:br w:type="page" w:clear="all"/>
      </w:r>
      <w:r>
        <w:rPr>
          <w:highlight w:val="none"/>
        </w:rPr>
      </w:r>
      <w:r/>
    </w:p>
    <w:p>
      <w:pPr>
        <w:pStyle w:val="1164"/>
        <w:jc w:val="center"/>
        <w:rPr>
          <w:rFonts w:hint="eastAsia" w:ascii="黑体" w:hAnsi="宋体" w:eastAsia="黑体"/>
          <w:szCs w:val="16"/>
          <w:highlight w:val="none"/>
        </w:rPr>
      </w:pPr>
      <w:r>
        <w:rPr>
          <w:highlight w:val="none"/>
        </w:rPr>
      </w:r>
      <w:bookmarkStart w:id="11" w:name="_Toc13642115"/>
      <w:r>
        <w:rPr>
          <w:highlight w:val="none"/>
        </w:rPr>
      </w:r>
      <w:bookmarkStart w:id="12" w:name="_Toc474491765"/>
      <w:r>
        <w:rPr>
          <w:highlight w:val="none"/>
        </w:rPr>
      </w:r>
      <w:bookmarkStart w:id="13" w:name="_Toc10533"/>
      <w:r>
        <w:rPr>
          <w:rFonts w:hint="eastAsia" w:ascii="黑体" w:hAnsi="宋体" w:eastAsia="黑体"/>
          <w:szCs w:val="16"/>
          <w:highlight w:val="none"/>
        </w:rPr>
        <w:t xml:space="preserve">第三章 </w:t>
      </w:r>
      <w:bookmarkEnd w:id="11"/>
      <w:r>
        <w:rPr>
          <w:rFonts w:hint="eastAsia" w:ascii="黑体" w:hAnsi="宋体" w:eastAsia="黑体"/>
          <w:szCs w:val="16"/>
          <w:highlight w:val="none"/>
        </w:rPr>
        <w:t xml:space="preserve"> 采购</w:t>
      </w:r>
      <w:bookmarkEnd w:id="12"/>
      <w:r>
        <w:rPr>
          <w:rFonts w:hint="eastAsia" w:ascii="黑体" w:hAnsi="宋体" w:eastAsia="黑体"/>
          <w:szCs w:val="16"/>
          <w:highlight w:val="none"/>
        </w:rPr>
        <w:t xml:space="preserve">需求</w:t>
      </w:r>
      <w:bookmarkEnd w:id="13"/>
      <w:r>
        <w:rPr>
          <w:highlight w:val="none"/>
        </w:rPr>
      </w:r>
      <w:r/>
    </w:p>
    <w:p>
      <w:pPr>
        <w:pStyle w:val="87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hint="eastAsia" w:ascii="宋体" w:hAnsi="宋体"/>
          <w:color w:val="000000"/>
          <w:sz w:val="24"/>
          <w:highlight w:val="none"/>
          <w:lang w:eastAsia="zh-CN"/>
        </w:rPr>
        <w:t xml:space="preserve">苏州市吴中区人民政府太湖街道办事处</w:t>
      </w:r>
      <w:r>
        <w:rPr>
          <w:rFonts w:hint="eastAsia" w:ascii="宋体" w:hAnsi="宋体"/>
          <w:color w:val="000000"/>
          <w:sz w:val="24"/>
          <w:highlight w:val="none"/>
        </w:rPr>
        <w:t xml:space="preserve">委托，江苏至衡诚达工程咨询有限公司对其</w:t>
      </w:r>
      <w:r>
        <w:rPr>
          <w:rFonts w:hint="eastAsia" w:ascii="宋体" w:hAnsi="宋体" w:cs="宋体"/>
          <w:color w:val="000000"/>
          <w:sz w:val="24"/>
          <w:highlight w:val="none"/>
          <w:lang w:eastAsia="zh-CN"/>
        </w:rPr>
        <w:t xml:space="preserve">2026年太湖街道食堂食材配送项目</w:t>
      </w:r>
      <w:r>
        <w:rPr>
          <w:rFonts w:hint="eastAsia" w:ascii="宋体" w:hAnsi="宋体"/>
          <w:color w:val="000000"/>
          <w:sz w:val="24"/>
          <w:highlight w:val="none"/>
        </w:rPr>
        <w:t xml:space="preserve">在国内组织竞争性磋商采购。欢迎符合资格条件的供应商前来报名参加磋商。</w:t>
      </w:r>
      <w:r>
        <w:rPr>
          <w:highlight w:val="none"/>
        </w:rPr>
      </w:r>
      <w:r/>
    </w:p>
    <w:p>
      <w:pPr>
        <w:pStyle w:val="879"/>
        <w:ind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一、项目基本情况</w:t>
      </w:r>
      <w:r>
        <w:rPr>
          <w:highlight w:val="none"/>
        </w:rPr>
      </w:r>
      <w:r/>
    </w:p>
    <w:p>
      <w:pPr>
        <w:pStyle w:val="879"/>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（一）项目编号：</w:t>
      </w:r>
      <w:r>
        <w:rPr>
          <w:rFonts w:hint="eastAsia" w:ascii="宋体" w:hAnsi="宋体"/>
          <w:color w:val="000000"/>
          <w:sz w:val="24"/>
          <w:highlight w:val="none"/>
          <w:lang w:eastAsia="zh-CN"/>
        </w:rPr>
        <w:t xml:space="preserve">JSZC-320506-ZHCD-C2025-0024</w:t>
      </w:r>
      <w:r>
        <w:rPr>
          <w:highlight w:val="none"/>
        </w:rPr>
      </w:r>
      <w:r/>
    </w:p>
    <w:p>
      <w:pPr>
        <w:pStyle w:val="879"/>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2026年太湖街道食堂食材配送项目</w:t>
      </w:r>
      <w:r>
        <w:rPr>
          <w:highlight w:val="none"/>
        </w:rPr>
      </w:r>
      <w:r/>
    </w:p>
    <w:p>
      <w:pPr>
        <w:pStyle w:val="87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（三）采购方式：竞争性磋商</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（四）预算金额：</w:t>
      </w:r>
      <w:r>
        <w:rPr>
          <w:rFonts w:hint="eastAsia" w:ascii="宋体" w:hAnsi="宋体" w:cs="宋体"/>
          <w:color w:val="000000"/>
          <w:sz w:val="24"/>
          <w:highlight w:val="none"/>
          <w:lang w:eastAsia="zh-CN"/>
        </w:rPr>
        <w:t xml:space="preserve">壹佰捌拾万元整（￥1800000.00元）</w:t>
      </w:r>
      <w:r>
        <w:rPr>
          <w:rFonts w:hint="eastAsia" w:ascii="宋体" w:hAnsi="宋体" w:cs="宋体"/>
          <w:color w:val="000000"/>
          <w:sz w:val="24"/>
          <w:highlight w:val="none"/>
        </w:rPr>
        <w:t xml:space="preserve">。</w:t>
      </w:r>
      <w:r>
        <w:rPr>
          <w:highlight w:val="none"/>
        </w:rPr>
      </w:r>
      <w:r/>
    </w:p>
    <w:p>
      <w:pPr>
        <w:pStyle w:val="879"/>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（五）最高限价：</w:t>
      </w:r>
      <w:r>
        <w:rPr>
          <w:rFonts w:hint="eastAsia" w:ascii="宋体" w:hAnsi="宋体" w:cs="宋体"/>
          <w:color w:val="000000"/>
          <w:sz w:val="24"/>
          <w:highlight w:val="none"/>
          <w:lang w:eastAsia="zh-CN"/>
        </w:rPr>
        <w:t xml:space="preserve">壹佰捌拾万元整（￥1800000.00元）</w:t>
      </w:r>
      <w:r>
        <w:rPr>
          <w:highlight w:val="none"/>
        </w:rPr>
      </w:r>
      <w:r/>
    </w:p>
    <w:p>
      <w:pPr>
        <w:pStyle w:val="879"/>
        <w:ind w:firstLine="420"/>
        <w:spacing w:line="360" w:lineRule="auto"/>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六）</w:t>
      </w:r>
      <w:r>
        <w:rPr>
          <w:rFonts w:hint="eastAsia" w:ascii="宋体" w:hAnsi="宋体" w:cs="宋体"/>
          <w:sz w:val="24"/>
          <w:highlight w:val="none"/>
        </w:rPr>
        <w:t xml:space="preserve">合同期限：</w:t>
      </w:r>
      <w:r>
        <w:rPr>
          <w:rFonts w:hint="eastAsia" w:ascii="宋体" w:hAnsi="宋体" w:cs="宋体"/>
          <w:color w:val="000000"/>
          <w:sz w:val="24"/>
          <w:highlight w:val="none"/>
          <w:lang w:val="zh-CN"/>
        </w:rPr>
        <w:t xml:space="preserve">壹年（具体以实际提供服务之日起算）</w:t>
      </w:r>
      <w:r>
        <w:rPr>
          <w:rFonts w:hint="eastAsia" w:ascii="宋体" w:hAnsi="宋体" w:cs="宋体"/>
          <w:sz w:val="24"/>
          <w:highlight w:val="none"/>
        </w:rPr>
        <w:t xml:space="preserve">。</w:t>
      </w:r>
      <w:r>
        <w:rPr>
          <w:highlight w:val="none"/>
        </w:rPr>
      </w:r>
      <w:r/>
    </w:p>
    <w:p>
      <w:pPr>
        <w:pStyle w:val="879"/>
        <w:ind w:firstLine="48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二、采购内容：</w:t>
      </w:r>
      <w:r>
        <w:rPr>
          <w:highlight w:val="none"/>
        </w:rPr>
      </w:r>
      <w:r/>
    </w:p>
    <w:p>
      <w:pPr>
        <w:pStyle w:val="879"/>
        <w:ind w:firstLine="480"/>
        <w:spacing w:line="360" w:lineRule="auto"/>
        <w:rPr>
          <w:rFonts w:hint="eastAsia" w:eastAsia="楷体_GB2312"/>
          <w:sz w:val="24"/>
          <w:highlight w:val="none"/>
        </w:rPr>
      </w:pPr>
      <w:r>
        <w:rPr>
          <w:rFonts w:hint="eastAsia" w:ascii="宋体" w:hAnsi="宋体" w:cs="宋体"/>
          <w:sz w:val="24"/>
          <w:highlight w:val="none"/>
        </w:rPr>
        <w:t xml:space="preserve">全体所有在岗工作人员约</w:t>
      </w:r>
      <w:r>
        <w:rPr>
          <w:rFonts w:hint="eastAsia" w:ascii="宋体" w:hAnsi="宋体" w:cs="宋体"/>
          <w:sz w:val="24"/>
          <w:highlight w:val="none"/>
          <w:lang w:val="en-US" w:eastAsia="zh-CN"/>
        </w:rPr>
        <w:t xml:space="preserve">200</w:t>
      </w:r>
      <w:r>
        <w:rPr>
          <w:rFonts w:hint="eastAsia" w:ascii="宋体" w:hAnsi="宋体" w:cs="宋体"/>
          <w:sz w:val="24"/>
          <w:highlight w:val="none"/>
        </w:rPr>
        <w:t xml:space="preserve">人提供早、中、晚三餐餐食，根据采购人实际需求配送食材。</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由于本项目涉及食品安全以及生鲜食品供应链等，关系到服务质量、环境、安全等，因此要求响应单位在自身完善响应的管理体系的基础上，还应该承担有关食品安全</w:t>
      </w:r>
      <w:r>
        <w:rPr>
          <w:rFonts w:hint="eastAsia" w:ascii="宋体" w:hAnsi="宋体" w:cs="宋体"/>
          <w:sz w:val="24"/>
          <w:highlight w:val="none"/>
          <w:lang w:val="en-US" w:eastAsia="zh-CN"/>
        </w:rPr>
        <w:t xml:space="preserve">等方面的责任，同时对</w:t>
      </w:r>
      <w:r>
        <w:rPr>
          <w:rFonts w:hint="eastAsia" w:ascii="宋体" w:hAnsi="宋体" w:cs="宋体"/>
          <w:sz w:val="24"/>
          <w:highlight w:val="none"/>
          <w:lang w:val="en-US" w:eastAsia="zh-CN"/>
        </w:rPr>
        <w:t xml:space="preserve">生鲜食品供应链等也有一定的要求。</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服务内容与要求：</w:t>
      </w:r>
      <w:r>
        <w:rPr>
          <w:highlight w:val="none"/>
        </w:rPr>
      </w:r>
      <w:r/>
    </w:p>
    <w:p>
      <w:pPr>
        <w:pStyle w:val="1005"/>
        <w:spacing w:line="360" w:lineRule="auto"/>
        <w:tabs>
          <w:tab w:val="left" w:pos="360" w:leader="none"/>
        </w:tabs>
        <w:rPr>
          <w:rFonts w:hint="eastAsia" w:ascii="宋体" w:hAnsi="宋体" w:cs="宋体"/>
          <w:highlight w:val="none"/>
        </w:rPr>
      </w:pPr>
      <w:r>
        <w:rPr>
          <w:rFonts w:hint="eastAsia" w:ascii="宋体" w:hAnsi="宋体" w:cs="宋体"/>
          <w:bCs/>
          <w:highlight w:val="none"/>
        </w:rPr>
        <w:t xml:space="preserve">（一）</w:t>
      </w:r>
      <w:r>
        <w:rPr>
          <w:rFonts w:hint="eastAsia" w:ascii="宋体" w:hAnsi="宋体" w:cs="宋体"/>
          <w:highlight w:val="none"/>
        </w:rPr>
        <w:t xml:space="preserve">主要原材料质量标准：</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1、大米配送标准：新大米（国标一级），必须符合国家最新标准，并拥有“SC食品生产许可证”。</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2、面粉配送标准：面粉级别为特一级，必须符合国家最新标准，并拥有“SC食品生产许可证”。</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3、食用油配送标准：非转基因食用油，每桶5升左右，必须符合国家食用植物油卫生标准，并具有“SC食品生产许可证”。</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4、猪肉配送标准：使用冷鲜肉品牌产品，猪肉质量必须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5、家禽冻品（鸡腿、鸡翅等）质量要求：配送单位须提供产品合格证明文件，动物产品提供《动物或动物产品分销信息凭证》或《动物检疫合格证》。</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6、豆制品质量要求：发酵性豆制品必须符合国家最新标准，非发酵豆制品必须符合GBT22106-2008标准、GB2711-2003非发酵性豆制品及面筋卫生标准，对豆制品的有关安全健康指标符合国家最新规定。</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7、水产品质量要求：必须符合国家《鲜、冻动物性水产品卫生标准》、国家《鱼糜制品卫生标准》、国家《水产调味品卫生标准》、国家《腌制生食动物性水产品卫生标准》、国家《动物性水产干制品卫生标准》、国家《藻类制品卫生标准》等。产品的感观、安全、卫生、稳定性等指标符合相关规定。</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8、无公害蔬菜质量要求：必须符合国家农产品安全质量无公害蔬菜安全要求，对蔬菜中有害物质严格控制在标准规定范围之内。</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9、调味品质量要求：食用盐、酱油、味精、生粉（淀粉制品）、食糖、食醋、酿造食醋等都必须符合国家最新标准。</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10、食品添加剂质量要求：食品添加剂应符合相应的食品安全标准，添加剂的使用必须符合国家最新标准，对食品的添加量严格控制在标准规定范围之内。</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11、鲜蛋质量要求：鸡蛋等新鲜蛋类必须符合国家最新标准。</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12、水果质量要求：必须符合农产品安全质量无公害蔬菜安全要求，对蔬菜中有害物质严格控制在标准规定范围之内。</w:t>
      </w:r>
      <w:r>
        <w:rPr>
          <w:highlight w:val="none"/>
        </w:rPr>
      </w:r>
      <w:r/>
    </w:p>
    <w:p>
      <w:pPr>
        <w:pStyle w:val="879"/>
        <w:ind w:firstLine="360"/>
        <w:spacing w:line="360" w:lineRule="auto"/>
        <w:rPr>
          <w:rFonts w:hint="eastAsia" w:ascii="宋体" w:hAnsi="宋体" w:cs="宋体"/>
          <w:sz w:val="24"/>
          <w:highlight w:val="none"/>
        </w:rPr>
      </w:pPr>
      <w:r>
        <w:rPr>
          <w:rFonts w:hint="eastAsia" w:ascii="宋体" w:hAnsi="宋体" w:cs="宋体"/>
          <w:sz w:val="24"/>
          <w:highlight w:val="none"/>
        </w:rPr>
        <w:t xml:space="preserve">13、奶制品:食材包装及外观干净、整洁，生产日期、保质期、贮藏条件标识清晰，须在保质期内:符合国家标准。</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（二）食材检测要求：</w:t>
      </w:r>
      <w:r>
        <w:rPr>
          <w:highlight w:val="none"/>
        </w:rPr>
      </w:r>
      <w:r/>
    </w:p>
    <w:p>
      <w:pPr>
        <w:pStyle w:val="879"/>
        <w:ind w:firstLine="480"/>
        <w:spacing w:line="360" w:lineRule="auto"/>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肉类（含家禽、鱼、肉、冷鲜肉及冷冻肉等）、豆制品、调味品、食用油必须使用优质品牌产品，即由所处经营领域中有较高知名度与美誉度的大型企业提供，其产品可以追根溯源。</w:t>
      </w:r>
      <w:r>
        <w:rPr>
          <w:highlight w:val="none"/>
        </w:rPr>
      </w:r>
      <w:r/>
    </w:p>
    <w:p>
      <w:pPr>
        <w:pStyle w:val="879"/>
        <w:ind w:firstLine="480"/>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每次配送的食材均需提供相关的检测报告或检验合格证。</w:t>
      </w:r>
      <w:r>
        <w:rPr>
          <w:highlight w:val="none"/>
        </w:rPr>
      </w:r>
      <w:r/>
    </w:p>
    <w:p>
      <w:pPr>
        <w:pStyle w:val="879"/>
        <w:ind w:firstLine="48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、采购单位</w:t>
      </w:r>
      <w:r>
        <w:rPr>
          <w:rFonts w:ascii="宋体" w:hAnsi="宋体"/>
          <w:sz w:val="24"/>
          <w:highlight w:val="none"/>
        </w:rPr>
        <w:t xml:space="preserve">将委托权威部门定期对配送单位提供的食材进行抽样检测，如检测发现质量问题，由配送单位承担检测费用及相关责任。</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（三）食材配送日常要求：</w:t>
      </w:r>
      <w:r>
        <w:rPr>
          <w:highlight w:val="none"/>
        </w:rPr>
      </w:r>
      <w:r/>
    </w:p>
    <w:p>
      <w:pPr>
        <w:pStyle w:val="879"/>
        <w:ind w:firstLine="480"/>
        <w:jc w:val="left"/>
        <w:spacing w:line="360" w:lineRule="auto"/>
        <w:rPr>
          <w:rFonts w:hint="eastAsia" w:ascii="宋体" w:hAnsi="宋体"/>
          <w:sz w:val="24"/>
          <w:highlight w:val="none"/>
          <w:u w:val="single"/>
        </w:rPr>
      </w:pPr>
      <w:r>
        <w:rPr>
          <w:rFonts w:hint="eastAsia" w:ascii="宋体" w:hAnsi="宋体"/>
          <w:sz w:val="24"/>
          <w:highlight w:val="none"/>
          <w:lang w:bidi="en-US"/>
        </w:rPr>
        <w:t xml:space="preserve">1、配送品牌要求：</w:t>
      </w:r>
      <w:r>
        <w:rPr>
          <w:highlight w:val="none"/>
        </w:rPr>
      </w:r>
      <w:r/>
    </w:p>
    <w:tbl>
      <w:tblPr>
        <w:tblW w:w="4999" w:type="pct"/>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05"/>
        <w:gridCol w:w="6673"/>
      </w:tblGrid>
      <w:tr>
        <w:trPr>
          <w:trHeight w:val="444"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食材类别</w:t>
            </w:r>
            <w:r>
              <w:rPr>
                <w:highlight w:val="none"/>
              </w:rPr>
            </w:r>
            <w:r/>
          </w:p>
        </w:tc>
        <w:tc>
          <w:tcPr>
            <w:tcW w:w="3310"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食材品牌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肉类</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雨润、双汇、青莲、中粮（不低于上述档次品牌）</w:t>
            </w:r>
            <w:r>
              <w:rPr>
                <w:highlight w:val="none"/>
              </w:rPr>
            </w:r>
            <w:r/>
          </w:p>
        </w:tc>
      </w:tr>
      <w:tr>
        <w:trPr>
          <w:trHeight w:val="58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食用油（非转基因）</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金成、福临门、金龙鱼（不低于上述档次品牌）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调味品</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海天、李锦记、太太乐（不低于上述档次品牌）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冷冻品</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大成、成达、六和、凯牧（不低于上述档次品牌）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豆制品</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艺杏、祖名、日和（不低于上述档次品牌）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水产</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本地基地（优选）</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蔬菜</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本地基地（优选）</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禽蛋</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菜场</w:t>
            </w:r>
            <w:r>
              <w:rPr>
                <w:highlight w:val="none"/>
              </w:rPr>
            </w:r>
            <w:r/>
          </w:p>
        </w:tc>
      </w:tr>
      <w:tr>
        <w:trPr>
          <w:trHeight w:val="544"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南北干货</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菜场</w:t>
            </w:r>
            <w:r>
              <w:rPr>
                <w:highlight w:val="none"/>
              </w:rPr>
            </w:r>
            <w:r/>
          </w:p>
        </w:tc>
      </w:tr>
      <w:tr>
        <w:trPr>
          <w:trHeight w:val="448"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其他</w:t>
            </w:r>
            <w:r>
              <w:rPr>
                <w:highlight w:val="none"/>
              </w:rPr>
            </w:r>
            <w:r/>
          </w:p>
        </w:tc>
        <w:tc>
          <w:tcPr>
            <w:tcW w:w="3310"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rPr>
            </w:r>
            <w:r>
              <w:rPr>
                <w:highlight w:val="none"/>
              </w:rPr>
            </w:r>
            <w:r/>
          </w:p>
        </w:tc>
      </w:tr>
    </w:tbl>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并对配送单位扣除进行本次配送货物金额5-10倍的货款作为违约金。</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3、配送单位严禁</w:t>
      </w:r>
      <w:r>
        <w:rPr>
          <w:rFonts w:hint="eastAsia" w:ascii="宋体" w:hAnsi="宋体" w:cs="宋体"/>
          <w:sz w:val="24"/>
          <w:highlight w:val="none"/>
        </w:rPr>
        <w:t xml:space="preserve">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他不符合食品卫生标准和要求的食品。</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（四）配送频率要求：</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1、每天送货一次，应急配送的在收到通知后半小时内响应，1小时内完成或提出解决方案。</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3、配送车辆符合国家食品运输相关规定。</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（五）其他要求</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由于本项目涉及</w:t>
      </w:r>
      <w:r>
        <w:rPr>
          <w:rFonts w:hint="eastAsia" w:ascii="宋体" w:hAnsi="宋体"/>
          <w:sz w:val="24"/>
          <w:highlight w:val="none"/>
          <w:lang w:val="en-US" w:eastAsia="zh-CN"/>
        </w:rPr>
        <w:t xml:space="preserve">到食品安全与卫生，</w:t>
      </w:r>
      <w:r>
        <w:rPr>
          <w:rFonts w:hint="eastAsia" w:ascii="宋体" w:hAnsi="宋体"/>
          <w:sz w:val="24"/>
          <w:highlight w:val="none"/>
        </w:rPr>
        <w:t xml:space="preserve">尤其考虑到该项目服务包含环境卫生</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食品安全等关乎人员身体健康</w:t>
      </w:r>
      <w:r>
        <w:rPr>
          <w:rFonts w:hint="eastAsia" w:ascii="宋体" w:hAnsi="宋体"/>
          <w:sz w:val="24"/>
          <w:highlight w:val="none"/>
        </w:rPr>
        <w:t xml:space="preserve">等方面的服务，因此要求响应单位在自身完善</w:t>
      </w:r>
      <w:r>
        <w:rPr>
          <w:rFonts w:hint="eastAsia" w:ascii="宋体" w:hAnsi="宋体"/>
          <w:sz w:val="24"/>
          <w:highlight w:val="none"/>
          <w:lang w:val="en-US" w:eastAsia="zh-CN"/>
        </w:rPr>
        <w:t xml:space="preserve">相应的</w:t>
      </w:r>
      <w:r>
        <w:rPr>
          <w:rFonts w:hint="eastAsia" w:ascii="宋体" w:hAnsi="宋体"/>
          <w:sz w:val="24"/>
          <w:highlight w:val="none"/>
        </w:rPr>
        <w:t xml:space="preserve">管理体系的基础上，应该承担一定的社会责任，</w:t>
      </w:r>
      <w:r>
        <w:rPr>
          <w:rFonts w:hint="eastAsia" w:ascii="宋体" w:hAnsi="宋体"/>
          <w:sz w:val="24"/>
          <w:highlight w:val="none"/>
          <w:lang w:val="en-US" w:eastAsia="zh-CN"/>
        </w:rPr>
        <w:t xml:space="preserve">具备有关食品安全与人员健康相关管理能力为佳，同时所配备服务人员应该具备与食品安全等相关的服务人员为佳</w:t>
      </w:r>
      <w:r>
        <w:rPr>
          <w:rFonts w:hint="eastAsia" w:ascii="宋体" w:hAnsi="宋体"/>
          <w:sz w:val="24"/>
          <w:highlight w:val="none"/>
        </w:rPr>
        <w:t xml:space="preserve">。</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1、各供应商需对本项目及自身情况（包括但不限于</w:t>
      </w:r>
      <w:r>
        <w:rPr>
          <w:rFonts w:hint="eastAsia" w:hAnsi="宋体"/>
          <w:sz w:val="24"/>
          <w:highlight w:val="non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sz w:val="24"/>
          <w:highlight w:val="none"/>
        </w:rPr>
        <w:t xml:space="preserve">）报出针对原材料的</w:t>
      </w:r>
      <w:r>
        <w:rPr>
          <w:rFonts w:hint="eastAsia" w:ascii="宋体" w:hAnsi="宋体"/>
          <w:sz w:val="24"/>
          <w:highlight w:val="none"/>
          <w:lang w:eastAsia="zh-CN"/>
        </w:rPr>
        <w:t xml:space="preserve">下浮率</w:t>
      </w:r>
      <w:r>
        <w:rPr>
          <w:rFonts w:hint="eastAsia" w:ascii="宋体" w:hAnsi="宋体"/>
          <w:sz w:val="24"/>
          <w:highlight w:val="none"/>
        </w:rPr>
        <w:t xml:space="preserve">。</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2、若采购单位有特殊情况需临时要求供货，中标单位须有相应的应急预案，并承诺在采购单位规定的合理时间范围内能送货至采购单位指定地点。</w:t>
      </w:r>
      <w:r>
        <w:rPr>
          <w:highlight w:val="none"/>
        </w:rPr>
      </w:r>
      <w:r/>
    </w:p>
    <w:p>
      <w:pPr>
        <w:pStyle w:val="879"/>
        <w:ind w:firstLine="480"/>
        <w:spacing w:line="360" w:lineRule="auto"/>
        <w:tabs>
          <w:tab w:val="left" w:pos="6521" w:leader="none"/>
        </w:tabs>
        <w:rPr>
          <w:rFonts w:hint="eastAsia" w:ascii="宋体" w:hAnsi="宋体" w:eastAsia="宋体"/>
          <w:sz w:val="24"/>
          <w:highlight w:val="none"/>
        </w:rPr>
      </w:pPr>
      <w:r>
        <w:rPr>
          <w:rFonts w:hint="eastAsia" w:ascii="宋体" w:hAnsi="宋体"/>
          <w:sz w:val="24"/>
          <w:highlight w:val="none"/>
        </w:rPr>
        <w:t xml:space="preserve">3、经核有下列情形之一者采购方有权立即终止配送单位的配送工作，并终止与之签订的食堂配送协议：（1）原材料问题引起的员工食物中毒等食源性疾病的发生；（2）月度考核二次或二次以上低于80分；（3）被政府监管部门查到故意向采购单位销售假冒伪劣商品</w:t>
      </w:r>
      <w:r>
        <w:rPr>
          <w:rFonts w:hint="eastAsia" w:ascii="宋体" w:hAnsi="宋体"/>
          <w:sz w:val="24"/>
          <w:highlight w:val="none"/>
          <w:lang w:eastAsia="zh-CN"/>
        </w:rPr>
        <w:t xml:space="preserve">；</w:t>
      </w:r>
      <w:r>
        <w:rPr>
          <w:rFonts w:hint="eastAsia" w:ascii="宋体" w:hAnsi="宋体" w:cs="宋体"/>
          <w:sz w:val="24"/>
          <w:highlight w:val="none"/>
        </w:rPr>
        <w:t xml:space="preserve">（4）经查实，将部分配送工作分包或转包给他人或其他单位。</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sz w:val="24"/>
          <w:highlight w:val="none"/>
        </w:rPr>
        <w:t xml:space="preserve">4、</w:t>
      </w:r>
      <w:r>
        <w:rPr>
          <w:rFonts w:hint="eastAsia" w:ascii="宋体" w:hAnsi="宋体" w:cs="宋体"/>
          <w:sz w:val="24"/>
          <w:highlight w:val="none"/>
        </w:rPr>
        <w:t xml:space="preserve">因重大责任事故，取消配送资格的供应商，不得继续为采购方提供所有物质的配送，已签订的合同双方协商解除。</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、本项目需配备项目负责人1名</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服务人员不少于3名。</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、结算方式：</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报价要求：以苏州发展和改革委员会官网上公布的最新“苏州市部分农贸市场零售均价”的100%的价格为基准价，按照采购文件中的报价表作规定的让利。合同最终价格不得超过采购预算，若服务期限内结算金额达到采购预算后合同自动终止。</w:t>
      </w:r>
      <w:r>
        <w:rPr>
          <w:highlight w:val="none"/>
        </w:rPr>
      </w:r>
      <w:r/>
    </w:p>
    <w:p>
      <w:pPr>
        <w:pStyle w:val="879"/>
        <w:ind w:firstLine="480"/>
        <w:spacing w:line="360" w:lineRule="auto"/>
        <w:rPr>
          <w:rFonts w:hint="eastAsia" w:ascii="宋体" w:hAnsi="宋体"/>
          <w:bCs/>
          <w:sz w:val="24"/>
          <w:highlight w:val="none"/>
        </w:rPr>
      </w:pPr>
      <w:r>
        <w:rPr>
          <w:rFonts w:hint="eastAsia" w:ascii="宋体" w:hAnsi="宋体" w:cs="宋体"/>
          <w:sz w:val="24"/>
          <w:highlight w:val="none"/>
        </w:rPr>
        <w:t xml:space="preserve">（2）若实际供货中涉及范围在苏州发展和改革委员会官网公布上未查到，则按照不高于周边市场均价按实结算，报价不高于周边市场均价。</w:t>
      </w:r>
      <w:r>
        <w:rPr>
          <w:highlight w:val="none"/>
        </w:rPr>
      </w:r>
      <w:r/>
    </w:p>
    <w:p>
      <w:pPr>
        <w:pStyle w:val="879"/>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（3）供货价格一星期一报价(若供货价格无较大变化，可延长报价时间)。</w:t>
      </w:r>
      <w:r>
        <w:rPr>
          <w:highlight w:val="none"/>
        </w:rPr>
      </w:r>
      <w:r/>
    </w:p>
    <w:p>
      <w:pPr>
        <w:pStyle w:val="879"/>
        <w:ind w:firstLine="480"/>
        <w:spacing w:line="360" w:lineRule="auto"/>
        <w:rPr>
          <w:rFonts w:ascii="宋体" w:hAnsi="宋体" w:eastAsia="宋体" w:cs="宋体"/>
          <w:sz w:val="24"/>
          <w:highlight w:val="none"/>
        </w:rPr>
      </w:pPr>
      <w:r>
        <w:rPr>
          <w:rFonts w:hint="eastAsia" w:ascii="宋体" w:hAnsi="宋体" w:eastAsia="宋体" w:cs="宋体"/>
          <w:sz w:val="24"/>
          <w:highlight w:val="none"/>
          <w:lang w:val="en-US" w:eastAsia="zh-CN"/>
        </w:rPr>
        <w:t xml:space="preserve">（4）合同终止条件：服务限满一年或实际已完产值达到合同金额（二者中以先满足条件为准）。</w:t>
      </w:r>
      <w:r>
        <w:rPr>
          <w:highlight w:val="none"/>
        </w:rPr>
      </w:r>
      <w:r/>
    </w:p>
    <w:p>
      <w:pPr>
        <w:pStyle w:val="879"/>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三、项目考核要求：</w:t>
      </w:r>
      <w:r>
        <w:rPr>
          <w:highlight w:val="none"/>
        </w:rPr>
      </w:r>
      <w:r/>
    </w:p>
    <w:p>
      <w:pPr>
        <w:pStyle w:val="879"/>
        <w:ind w:firstLine="480"/>
        <w:spacing w:line="360" w:lineRule="auto"/>
        <w:rPr>
          <w:rFonts w:hint="eastAsia" w:ascii="宋体" w:hAnsi="宋体"/>
          <w:sz w:val="24"/>
          <w:highlight w:val="none"/>
        </w:rPr>
      </w:pPr>
      <w:r>
        <w:rPr>
          <w:rFonts w:hint="eastAsia" w:ascii="宋体" w:hAnsi="宋体" w:cs="宋体"/>
          <w:sz w:val="24"/>
          <w:highlight w:val="none"/>
        </w:rPr>
        <w:t xml:space="preserve">本项目需配备项目负责人</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名</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服务人员不少于3名。</w:t>
      </w:r>
      <w:r>
        <w:rPr>
          <w:rFonts w:hint="eastAsia" w:ascii="宋体" w:hAnsi="宋体" w:cs="宋体"/>
          <w:sz w:val="24"/>
          <w:highlight w:val="none"/>
        </w:rPr>
        <w:t xml:space="preserve">甲方每月对乙方服务项目进行考核，具体详见附件《配餐服务月考核表》。</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1、有下列情形之一者采购人应立即终止配送单位的配送工作，并终止与之签订的协议：</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（1）原材料问题引起的食物中毒等食源性疾病的发生；</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（2）月度考核二次或二次以上低于80分；</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（3）被政府监管部门查到故意销售假冒伪劣商品；</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（4）经查实，将部分配送工作分包或转包给他人或其他单位。</w:t>
      </w:r>
      <w:r>
        <w:rPr>
          <w:highlight w:val="none"/>
        </w:rPr>
      </w:r>
      <w:r/>
    </w:p>
    <w:p>
      <w:pPr>
        <w:pStyle w:val="1234"/>
        <w:ind w:firstLine="480"/>
        <w:spacing w:line="360" w:lineRule="auto"/>
        <w:tabs>
          <w:tab w:val="left" w:pos="2700" w:leader="none"/>
        </w:tabs>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2、月度考核得分达</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分及以上，不扣除当月费用</w:t>
      </w:r>
      <w:r>
        <w:rPr>
          <w:rFonts w:hint="eastAsia" w:ascii="宋体" w:hAnsi="宋体" w:eastAsia="宋体" w:cs="宋体"/>
          <w:color w:val="000000"/>
          <w:sz w:val="24"/>
          <w:szCs w:val="24"/>
          <w:highlight w:val="none"/>
          <w:lang w:eastAsia="zh-CN"/>
        </w:rPr>
        <w:t xml:space="preserve">；如总分低于90分（含90分），</w:t>
      </w:r>
      <w:r>
        <w:rPr>
          <w:rFonts w:hint="eastAsia" w:ascii="宋体" w:hAnsi="宋体" w:eastAsia="宋体" w:cs="宋体"/>
          <w:color w:val="000000"/>
          <w:sz w:val="24"/>
          <w:szCs w:val="24"/>
          <w:highlight w:val="none"/>
        </w:rPr>
        <w:t xml:space="preserve">配送公司要做出书面的整改承诺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并按照每下降一分处以500元扣款（违约金），</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有权直接从应付未付款项中扣除。。</w:t>
      </w:r>
      <w:r>
        <w:rPr>
          <w:highlight w:val="none"/>
        </w:rPr>
      </w:r>
      <w:r/>
    </w:p>
    <w:p>
      <w:pPr>
        <w:pStyle w:val="1234"/>
        <w:ind w:firstLine="480"/>
        <w:spacing w:line="360" w:lineRule="auto"/>
        <w:tabs>
          <w:tab w:val="left" w:pos="2700" w:leader="none"/>
        </w:tabs>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为保证企业正常运作，同时巩固作业质量，如月度考核二次或二次以上低于80分；采购方有权终止合同（或协议），成交方需无条件按采购方要求办理移交、退场手续。</w:t>
      </w:r>
      <w:r>
        <w:rPr>
          <w:highlight w:val="none"/>
        </w:rPr>
      </w:r>
      <w:r/>
    </w:p>
    <w:p>
      <w:pPr>
        <w:pStyle w:val="1234"/>
        <w:ind w:firstLine="480"/>
        <w:spacing w:line="360" w:lineRule="auto"/>
        <w:tabs>
          <w:tab w:val="left" w:pos="2700" w:leader="none"/>
        </w:tabs>
        <w:rPr>
          <w:rFonts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、考核标准：后期采购单位有权根据项目实施的实际情况，对此标准进行调整。</w:t>
      </w:r>
      <w:r>
        <w:rPr>
          <w:highlight w:val="none"/>
        </w:rPr>
      </w:r>
      <w:r/>
    </w:p>
    <w:p>
      <w:pPr>
        <w:pStyle w:val="879"/>
        <w:ind w:firstLine="480"/>
        <w:jc w:val="left"/>
        <w:spacing w:line="360" w:lineRule="auto"/>
        <w:rPr>
          <w:rFonts w:hint="eastAsia" w:ascii="宋体" w:hAnsi="宋体"/>
          <w:sz w:val="24"/>
          <w:highlight w:val="none"/>
        </w:rPr>
      </w:pPr>
      <w:r>
        <w:rPr>
          <w:rFonts w:hint="eastAsia" w:ascii="宋体" w:hAnsi="宋体"/>
          <w:sz w:val="24"/>
          <w:highlight w:val="none"/>
        </w:rPr>
      </w:r>
      <w:r>
        <w:rPr>
          <w:highlight w:val="none"/>
        </w:rPr>
      </w:r>
      <w:r/>
    </w:p>
    <w:p>
      <w:pPr>
        <w:pStyle w:val="879"/>
        <w:spacing w:line="360" w:lineRule="auto"/>
        <w:widowControl/>
        <w:rPr>
          <w:rFonts w:ascii="宋体" w:hAnsi="宋体" w:cs="宋体"/>
          <w:b/>
          <w:bCs/>
          <w:sz w:val="24"/>
          <w:highlight w:val="none"/>
        </w:rPr>
      </w:pPr>
      <w:r>
        <w:rPr>
          <w:rFonts w:hint="eastAsia" w:ascii="宋体" w:hAnsi="宋体" w:cs="宋体"/>
          <w:b/>
          <w:bCs/>
          <w:sz w:val="24"/>
          <w:highlight w:val="none"/>
        </w:rPr>
        <w:t xml:space="preserve">附件：配餐服务月考核表</w:t>
      </w:r>
      <w:r>
        <w:rPr>
          <w:highlight w:val="none"/>
        </w:rPr>
      </w:r>
      <w:r/>
    </w:p>
    <w:p>
      <w:pPr>
        <w:pStyle w:val="879"/>
        <w:jc w:val="left"/>
        <w:spacing w:line="360" w:lineRule="auto"/>
        <w:rPr>
          <w:rFonts w:ascii="宋体" w:hAnsi="宋体" w:cs="宋体"/>
          <w:sz w:val="24"/>
          <w:highlight w:val="none"/>
        </w:rPr>
      </w:pPr>
      <w:r>
        <w:rPr>
          <w:rFonts w:hint="eastAsia" w:ascii="宋体" w:hAnsi="宋体" w:cs="宋体"/>
          <w:sz w:val="24"/>
          <w:highlight w:val="none"/>
        </w:rPr>
        <w:t xml:space="preserve">被考核单位：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日期：   年   月   日</w:t>
      </w:r>
      <w:r>
        <w:rPr>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660"/>
        <w:gridCol w:w="878"/>
        <w:gridCol w:w="1083"/>
        <w:gridCol w:w="6452"/>
      </w:tblGrid>
      <w:tr>
        <w:trPr>
          <w:trHeight w:val="531"/>
        </w:trPr>
        <w:tc>
          <w:tcPr>
            <w:tcW w:w="849"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一级</w:t>
            </w:r>
            <w:r>
              <w:rPr>
                <w:highlight w:val="none"/>
              </w:rPr>
            </w:r>
            <w:r/>
          </w:p>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指标</w:t>
            </w:r>
            <w:r>
              <w:rPr>
                <w:highlight w:val="none"/>
              </w:rPr>
            </w:r>
            <w:r/>
          </w:p>
        </w:tc>
        <w:tc>
          <w:tcPr>
            <w:tcW w:w="558"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分值</w:t>
            </w:r>
            <w:r>
              <w:rPr>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二级</w:t>
            </w:r>
            <w:r>
              <w:rPr>
                <w:highlight w:val="none"/>
              </w:rPr>
            </w:r>
            <w:r/>
          </w:p>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指标</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分值</w:t>
            </w:r>
            <w:r>
              <w:rPr>
                <w:highlight w:val="none"/>
              </w:rPr>
            </w:r>
            <w:r/>
          </w:p>
        </w:tc>
        <w:tc>
          <w:tcPr>
            <w:tcW w:w="5459"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考核要素和评估内容及其标准</w:t>
            </w:r>
            <w:r>
              <w:rPr>
                <w:highlight w:val="none"/>
              </w:rPr>
            </w:r>
            <w:r/>
          </w:p>
        </w:tc>
      </w:tr>
      <w:tr>
        <w:trPr>
          <w:trHeight w:val="584"/>
        </w:trPr>
        <w:tc>
          <w:tcPr>
            <w:tcW w:w="849" w:type="dxa"/>
            <w:vAlign w:val="center"/>
            <w:vMerge w:val="restart"/>
            <w:textDirection w:val="tbRlV"/>
            <w:noWrap w:val="false"/>
          </w:tcPr>
          <w:p>
            <w:pPr>
              <w:pStyle w:val="879"/>
              <w:ind w:left="113" w:righ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设备设施</w:t>
            </w:r>
            <w:r>
              <w:rPr>
                <w:highlight w:val="none"/>
              </w:rPr>
            </w:r>
            <w:r/>
          </w:p>
        </w:tc>
        <w:tc>
          <w:tcPr>
            <w:tcW w:w="558"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场地与功能</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食材配送占地和建筑面积适中，布局合理，设备设施配套功能齐全且整洁2分如有缩小面积、擅自改变其功能等与配送无关联的变更现象，该项不得分。</w:t>
            </w:r>
            <w:r>
              <w:rPr>
                <w:highlight w:val="none"/>
              </w:rPr>
            </w:r>
            <w:r/>
          </w:p>
        </w:tc>
      </w:tr>
      <w:tr>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运输工具</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送货均使用专用冷藏车2分（5-10月须开启冷藏设备，其余时间视气温情况而定），未用冷藏车或该开启冷藏设备而未开启冷藏设备发现一次扣1分，扣完为止。</w:t>
            </w:r>
            <w:r>
              <w:rPr>
                <w:highlight w:val="none"/>
              </w:rPr>
            </w:r>
            <w:r/>
          </w:p>
        </w:tc>
      </w:tr>
      <w:tr>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冷库</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科学、规范控制冷库温度，冷库堆放有序1分，如实填写进出库资料1分（根据实情酌情扣分）。</w:t>
            </w:r>
            <w:r>
              <w:rPr>
                <w:highlight w:val="none"/>
              </w:rPr>
            </w:r>
            <w:r/>
          </w:p>
        </w:tc>
      </w:tr>
      <w:tr>
        <w:trPr>
          <w:trHeight w:val="641"/>
        </w:trPr>
        <w:tc>
          <w:tcPr>
            <w:tcW w:w="849" w:type="dxa"/>
            <w:vAlign w:val="center"/>
            <w:vMerge w:val="restart"/>
            <w:textDirection w:val="tbRlV"/>
            <w:noWrap w:val="false"/>
          </w:tcPr>
          <w:p>
            <w:pPr>
              <w:pStyle w:val="879"/>
              <w:ind w:left="113" w:righ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流程管理</w:t>
            </w:r>
            <w:r>
              <w:rPr>
                <w:highlight w:val="none"/>
              </w:rPr>
            </w:r>
            <w:r/>
          </w:p>
        </w:tc>
        <w:tc>
          <w:tcPr>
            <w:tcW w:w="558"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30分</w:t>
            </w:r>
            <w:r>
              <w:rPr>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准时送货</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9分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送货准时，每天所需食材一并送达（水产除外）9分（非不可抗拒情况下延误一次扣3分，以此类推，扣完为止。</w:t>
            </w:r>
            <w:r>
              <w:rPr>
                <w:highlight w:val="none"/>
              </w:rPr>
            </w:r>
            <w:r/>
          </w:p>
        </w:tc>
      </w:tr>
      <w:tr>
        <w:trPr>
          <w:trHeight w:val="570"/>
        </w:trPr>
        <w:tc>
          <w:tcPr>
            <w:tcW w:w="849" w:type="dxa"/>
            <w:vAlign w:val="center"/>
            <w:vMerge w:val="continue"/>
            <w:textDirection w:val="tbRlV"/>
            <w:noWrap w:val="false"/>
          </w:tcPr>
          <w:p>
            <w:pPr>
              <w:pStyle w:val="879"/>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足斤足两</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9分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送货无短斤缺两现象9分（份量短缺达到该类食材配送总量5%以上，有一次扣3分，以此类推，扣完为止）。</w:t>
            </w:r>
            <w:r>
              <w:rPr>
                <w:highlight w:val="none"/>
              </w:rPr>
            </w:r>
            <w:r/>
          </w:p>
        </w:tc>
      </w:tr>
      <w:tr>
        <w:trPr>
          <w:trHeight w:val="613"/>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服务态度</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工作人员工作认真，服务热情周到，运送搬装文明4分（运送人员野蛮运装或无正当理由与食堂人员争执，一次扣2分，扣完为止）。</w:t>
            </w:r>
            <w:r>
              <w:rPr>
                <w:highlight w:val="none"/>
              </w:rPr>
            </w:r>
            <w:r/>
          </w:p>
        </w:tc>
      </w:tr>
      <w:tr>
        <w:trPr>
          <w:trHeight w:val="419"/>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工作细致</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配送物品清单与实际配送无差错6分（误差一次扣3分，以此类推，扣完为止）。</w:t>
            </w:r>
            <w:r>
              <w:rPr>
                <w:highlight w:val="none"/>
              </w:rPr>
            </w:r>
            <w:r/>
          </w:p>
        </w:tc>
      </w:tr>
      <w:tr>
        <w:trPr>
          <w:trHeight w:val="417"/>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单据清晰</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送货单（结算凭证）项目齐全，机器打印清晰2分，否则不得分。</w:t>
            </w:r>
            <w:r>
              <w:rPr>
                <w:highlight w:val="none"/>
              </w:rPr>
            </w:r>
            <w:r/>
          </w:p>
        </w:tc>
      </w:tr>
      <w:tr>
        <w:trPr>
          <w:trHeight w:val="1124"/>
        </w:trPr>
        <w:tc>
          <w:tcPr>
            <w:tcW w:w="849" w:type="dxa"/>
            <w:vAlign w:val="center"/>
            <w:textDirection w:val="lrTb"/>
            <w:noWrap w:val="false"/>
          </w:tcPr>
          <w:p>
            <w:pPr>
              <w:pStyle w:val="879"/>
              <w:ind w:lef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质量管理</w:t>
            </w:r>
            <w:r>
              <w:rPr>
                <w:highlight w:val="none"/>
              </w:rPr>
            </w:r>
            <w:r/>
          </w:p>
        </w:tc>
        <w:tc>
          <w:tcPr>
            <w:tcW w:w="558"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40分</w:t>
            </w:r>
            <w:r>
              <w:rPr>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食材每日</w:t>
            </w:r>
            <w:r>
              <w:rPr>
                <w:highlight w:val="none"/>
              </w:rPr>
            </w:r>
            <w:r/>
          </w:p>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评分</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40分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每天对配送单位提供的食材质量进行验收40分（验收时按各类食材验收标准打分，验收标准见合同）。</w:t>
            </w:r>
            <w:r>
              <w:rPr>
                <w:highlight w:val="none"/>
              </w:rPr>
            </w:r>
            <w:r/>
          </w:p>
        </w:tc>
      </w:tr>
      <w:tr>
        <w:trPr>
          <w:trHeight w:val="662"/>
        </w:trPr>
        <w:tc>
          <w:tcPr>
            <w:tcW w:w="849" w:type="dxa"/>
            <w:vAlign w:val="center"/>
            <w:vMerge w:val="restart"/>
            <w:textDirection w:val="tbRlV"/>
            <w:noWrap w:val="false"/>
          </w:tcPr>
          <w:p>
            <w:pPr>
              <w:pStyle w:val="879"/>
              <w:ind w:left="113" w:righ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科学管理</w:t>
            </w:r>
            <w:r>
              <w:rPr>
                <w:highlight w:val="none"/>
              </w:rPr>
            </w:r>
            <w:r/>
          </w:p>
        </w:tc>
        <w:tc>
          <w:tcPr>
            <w:tcW w:w="558"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24分</w:t>
            </w:r>
            <w:r>
              <w:rPr>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诚信经营</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不得将部分商品或部分</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的供应权限转让或分包给他人经营6分（如有违反不得分，并考虑取消配送资格）。</w:t>
            </w:r>
            <w:r>
              <w:rPr>
                <w:highlight w:val="none"/>
              </w:rPr>
            </w:r>
            <w:r/>
          </w:p>
        </w:tc>
      </w:tr>
      <w:tr>
        <w:trPr>
          <w:trHeight w:val="835"/>
        </w:trPr>
        <w:tc>
          <w:tcPr>
            <w:tcW w:w="849" w:type="dxa"/>
            <w:vAlign w:val="center"/>
            <w:vMerge w:val="continue"/>
            <w:textDirection w:val="tbRlV"/>
            <w:noWrap w:val="false"/>
          </w:tcPr>
          <w:p>
            <w:pPr>
              <w:pStyle w:val="879"/>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结算精准</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对</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：送货单上单价、月底结算价格符合招标文件精神，结算账目清晰准确，价格合理。对上家供应商：每月结清，不拖欠（结算不及时或延时付款，该项目不得分）。</w:t>
            </w:r>
            <w:r>
              <w:rPr>
                <w:highlight w:val="none"/>
              </w:rPr>
            </w:r>
            <w:r/>
          </w:p>
        </w:tc>
      </w:tr>
      <w:tr>
        <w:trPr>
          <w:trHeight w:val="542"/>
        </w:trPr>
        <w:tc>
          <w:tcPr>
            <w:tcW w:w="849" w:type="dxa"/>
            <w:vAlign w:val="center"/>
            <w:vMerge w:val="continue"/>
            <w:textDirection w:val="tbRlV"/>
            <w:noWrap w:val="false"/>
          </w:tcPr>
          <w:p>
            <w:pPr>
              <w:pStyle w:val="879"/>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留样制度</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每天做好蔬菜农药残留检测，并作记录。规范做好留样工作。（记录缺失扣3分，留样不规范扣3分）。</w:t>
            </w:r>
            <w:r>
              <w:rPr>
                <w:highlight w:val="none"/>
              </w:rPr>
            </w:r>
            <w:r/>
          </w:p>
        </w:tc>
      </w:tr>
      <w:tr>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安全清洁</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操作场所、仓库、运输工具、贮物筐箱等保持清洁卫生，坚持每天清洁工作，按规定定期消毒并做好记载，仓库内无过期物品，有单独的专供仓库3分（抽查到不符要求的每次扣1分，以此类推，扣完为止）。</w:t>
            </w:r>
            <w:r>
              <w:rPr>
                <w:highlight w:val="none"/>
              </w:rPr>
            </w:r>
            <w:r/>
          </w:p>
        </w:tc>
      </w:tr>
      <w:tr>
        <w:trPr>
          <w:trHeight w:val="810"/>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联系制度</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如网上没有</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所需商品名录，事先与</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联系并谈妥商品的品牌、品级、规格、价格等事项，然后发货3分。（配送单位单方定价后再送货不得分）。</w:t>
            </w:r>
            <w:r>
              <w:rPr>
                <w:highlight w:val="none"/>
              </w:rPr>
            </w:r>
            <w:r/>
          </w:p>
        </w:tc>
      </w:tr>
      <w:tr>
        <w:trPr>
          <w:trHeight w:val="570"/>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及时整改</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对</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的意见、建议虚心接受，运作过程中出现的新情况新问题及时主动沟通、协调有效果，及时整改见实效2分（整改效果不明显扣1分，未见整改效果不得分）。</w:t>
            </w:r>
            <w:r>
              <w:rPr>
                <w:highlight w:val="none"/>
              </w:rPr>
            </w:r>
            <w:r/>
          </w:p>
        </w:tc>
      </w:tr>
      <w:tr>
        <w:trPr/>
        <w:tc>
          <w:tcPr>
            <w:tcW w:w="849"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58"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743"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协调沟通</w:t>
            </w:r>
            <w:r>
              <w:rPr>
                <w:highlight w:val="none"/>
              </w:rPr>
            </w:r>
            <w:r/>
          </w:p>
        </w:tc>
        <w:tc>
          <w:tcPr>
            <w:tcW w:w="916"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5459"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每个月的月底，主动向</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书面报告工作情况（主要内容为：</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、上家供应商运作情况，工作上不和谐之事之因之果，以及意见或建议）得2分；不按时交不得分。</w:t>
            </w:r>
            <w:r>
              <w:rPr>
                <w:highlight w:val="none"/>
              </w:rPr>
            </w:r>
            <w:r/>
          </w:p>
        </w:tc>
      </w:tr>
      <w:tr>
        <w:trPr>
          <w:trHeight w:val="509"/>
        </w:trPr>
        <w:tc>
          <w:tcPr>
            <w:gridSpan w:val="4"/>
            <w:tcW w:w="3624"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总      分</w:t>
            </w:r>
            <w:r>
              <w:rPr>
                <w:highlight w:val="none"/>
              </w:rPr>
            </w:r>
            <w:r/>
          </w:p>
        </w:tc>
        <w:tc>
          <w:tcPr>
            <w:tcW w:w="5459" w:type="dxa"/>
            <w:vAlign w:val="top"/>
            <w:textDirection w:val="lrTb"/>
            <w:noWrap w:val="false"/>
          </w:tcPr>
          <w:p>
            <w:pPr>
              <w:pStyle w:val="879"/>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trHeight w:val="509"/>
        </w:trPr>
        <w:tc>
          <w:tcPr>
            <w:gridSpan w:val="4"/>
            <w:tcW w:w="3624" w:type="dxa"/>
            <w:vAlign w:val="center"/>
            <w:textDirection w:val="lrTb"/>
            <w:noWrap w:val="false"/>
          </w:tcPr>
          <w:p>
            <w:pPr>
              <w:pStyle w:val="879"/>
              <w:jc w:val="cente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说明</w:t>
            </w:r>
            <w:r>
              <w:rPr>
                <w:highlight w:val="none"/>
              </w:rPr>
            </w:r>
            <w:r/>
          </w:p>
        </w:tc>
        <w:tc>
          <w:tcPr>
            <w:tcW w:w="5459" w:type="dxa"/>
            <w:vAlign w:val="center"/>
            <w:textDirection w:val="lrTb"/>
            <w:noWrap w:val="false"/>
          </w:tcPr>
          <w:p>
            <w:pPr>
              <w:pStyle w:val="879"/>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月度考核得分达90分及以上，不扣除当月费用；如总分低于90分（含90分），配送公司要做出书面的整改承诺，并按照每下降一分处以500元扣款（违约金），采购方有权直接从应付未付款项中扣除。。</w:t>
            </w:r>
            <w:r>
              <w:rPr>
                <w:highlight w:val="none"/>
              </w:rPr>
            </w:r>
            <w:r/>
          </w:p>
          <w:p>
            <w:pPr>
              <w:pStyle w:val="879"/>
              <w:spacing w:line="360"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为保证企业正常运作，同时巩固作业质量，如月度考核二次或二次以上低于80分；采购方有权终止合同（或协议），成交方需无条件按采购方要求办理移交、退场手续。</w:t>
            </w:r>
            <w:r>
              <w:rPr>
                <w:highlight w:val="none"/>
              </w:rPr>
            </w:r>
            <w:r/>
          </w:p>
        </w:tc>
      </w:tr>
    </w:tbl>
    <w:p>
      <w:pPr>
        <w:pStyle w:val="879"/>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项目负责人签字：</w:t>
      </w:r>
      <w:r>
        <w:rPr>
          <w:highlight w:val="none"/>
        </w:rPr>
      </w:r>
      <w:r/>
    </w:p>
    <w:p>
      <w:pPr>
        <w:pStyle w:val="879"/>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pStyle w:val="918"/>
        <w:rPr>
          <w:highlight w:val="none"/>
        </w:rPr>
      </w:pPr>
      <w:r>
        <w:rPr>
          <w:rFonts w:ascii="宋体" w:hAnsi="宋体" w:cs="宋体"/>
          <w:sz w:val="24"/>
          <w:highlight w:val="none"/>
        </w:rPr>
        <w:br w:type="page" w:clear="all"/>
      </w:r>
      <w:r>
        <w:rPr>
          <w:highlight w:val="none"/>
        </w:rPr>
      </w:r>
      <w:r/>
    </w:p>
    <w:p>
      <w:pPr>
        <w:pStyle w:val="879"/>
        <w:ind w:firstLine="482"/>
        <w:spacing w:line="360" w:lineRule="auto"/>
        <w:rPr>
          <w:rFonts w:hint="eastAsia" w:ascii="宋体"/>
          <w:b/>
          <w:sz w:val="24"/>
          <w:highlight w:val="none"/>
        </w:rPr>
      </w:pPr>
      <w:r>
        <w:rPr>
          <w:rFonts w:hint="eastAsia" w:ascii="宋体"/>
          <w:b/>
          <w:sz w:val="24"/>
          <w:highlight w:val="none"/>
        </w:rPr>
        <w:t xml:space="preserve">四、综合说明及其他</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1.本采购文件中的产品若涉及品牌的仅为参考品牌，供各供应商投标时的参考。投标人必须承诺招标文件中提出的全部服务内容与要求，如果其中某些条款不响应时，应在文件中逐条列出，未列出的视同响应。</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2.供应商必须说明其是否响应采购文件中提出的全部服务内容与要求，如果以其中某些条款不响应时，应在文件中逐条列出，未列出的视同响应。</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3、投标人所提供的相关服务应符合根据国家标准和规范，并遵循招标文件的要求，其服务的质量和标准应达到招标要求，并提供详细的服务说明。如其中某些条款不能完全满足时，应在投标文件中逐条列出。</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4、中标人配送的主副食品必须符合国家相关规定的质量指标并可溯源，所供食材保质期不得低于标明的保质期限的1/2。价格必须按照中标</w:t>
      </w:r>
      <w:r>
        <w:rPr>
          <w:rFonts w:hint="eastAsia" w:ascii="宋体" w:hAnsi="宋体" w:cs="宋体"/>
          <w:sz w:val="24"/>
          <w:highlight w:val="none"/>
          <w:lang w:eastAsia="zh-CN"/>
        </w:rPr>
        <w:t xml:space="preserve">下浮率</w:t>
      </w:r>
      <w:r>
        <w:rPr>
          <w:rFonts w:hint="eastAsia" w:ascii="宋体" w:hAnsi="宋体" w:cs="宋体"/>
          <w:sz w:val="24"/>
          <w:highlight w:val="none"/>
        </w:rPr>
        <w:t xml:space="preserve">执行并保持相对稳定，不得以增加其它成本为由抬高价格。</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5、投标文件内容必须真实、准确、有效，如提供虚假材料或对招标文件所要求说明的情况故意隐瞒或虚报，按《中华人民共和国政府采购法》第七十七条的相关办法处理。</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6、采购单位有关部门负责中标单位日常服务工作的监管、协调、考核。</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、中标单位在供货过程中，如出现质量问题或保质期不足的情况，采购人有权拒绝接受所提供的物品或食品。</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、凡涉及招标文件的补充说明和修改，均以苏州市政府采购网上的信息为准。</w:t>
      </w:r>
      <w:r>
        <w:rPr>
          <w:highlight w:val="none"/>
        </w:rPr>
      </w:r>
      <w:r/>
    </w:p>
    <w:p>
      <w:pPr>
        <w:pStyle w:val="879"/>
        <w:ind w:firstLine="480"/>
        <w:jc w:val="left"/>
        <w:spacing w:line="360" w:lineRule="auto"/>
        <w:rPr>
          <w:rFonts w:hint="eastAsia" w:ascii="宋体" w:hAnsi="宋体" w:cs="宋体"/>
          <w:sz w:val="24"/>
          <w:highlight w:val="none"/>
        </w:rPr>
      </w:pP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、预付款及付款步骤</w:t>
      </w:r>
      <w:r>
        <w:rPr>
          <w:highlight w:val="none"/>
        </w:rPr>
      </w:r>
      <w:r/>
    </w:p>
    <w:p>
      <w:pPr>
        <w:pStyle w:val="879"/>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支付合同金额10%的预付款。在签订合同时，乙方明确表示无需预付款或者主动要求降低预付款比例的，甲方可不适用上述关于预付款的规定。甲方根据乙方当月实际配送种类、数量及价格结算货款。货款每个月结算一次，并于次月20日前结清（若遇节假日顺延至节假日后第一个工作日）；乙方需在双方核对货款金额无误后提前向甲方提供由其出具的符合甲方要求的国家正式税务发票，甲方以转账方式将货款转入乙方指定的帐户，不得将货款交给其他人员。</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10.1根据现行税法对采购方征收的与本项目采购合同有关的一切税费均由采购方承担；根据现行税法对成交单位征收的与本项目采购合同有关的一切税费均由成交单位承担。</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10.2支付方式：以采购方实际支付方式为准。付款前，成交单位须先向采购方提供的凭据，以采购方具体要求为准。</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11、成交单位将根据磋商文件、响应文件的相关约定，承担合同责任，履行合同义务。成交单位在服务中如达不到其当时在响应文件内所承诺的服务，采购方有权单方面解除合同。</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12、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13、质量与验收</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13.1成交单位应按照磋商文件的要求提供合格的服务；</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13.2验收标准：完全符合现行国家规范，地方、行业标准及采购方要求，以验收通过为准。</w:t>
      </w:r>
      <w:r>
        <w:rPr>
          <w:highlight w:val="none"/>
        </w:rPr>
      </w:r>
      <w:r/>
    </w:p>
    <w:p>
      <w:pPr>
        <w:pStyle w:val="879"/>
        <w:ind w:firstLine="482"/>
        <w:spacing w:line="360" w:lineRule="auto"/>
        <w:rPr>
          <w:rFonts w:hint="eastAsia" w:ascii="宋体"/>
          <w:sz w:val="24"/>
          <w:highlight w:val="none"/>
        </w:rPr>
      </w:pPr>
      <w:r>
        <w:rPr>
          <w:rFonts w:hint="eastAsia" w:ascii="宋体"/>
          <w:sz w:val="24"/>
          <w:highlight w:val="none"/>
        </w:rPr>
        <w:t xml:space="preserve">14、成交单位必须在全部服务完成并验收合格后十五日历天内，提交结算报告，逾期提交或者提交资料不全，</w:t>
      </w:r>
      <w:r>
        <w:rPr>
          <w:rFonts w:hint="eastAsia" w:ascii="宋体" w:hAnsi="宋体" w:cs="宋体"/>
          <w:color w:val="000000"/>
          <w:sz w:val="24"/>
          <w:highlight w:val="none"/>
        </w:rPr>
        <w:t xml:space="preserve">采购单位</w:t>
      </w:r>
      <w:r>
        <w:rPr>
          <w:rFonts w:hint="eastAsia" w:ascii="宋体"/>
          <w:sz w:val="24"/>
          <w:highlight w:val="none"/>
        </w:rPr>
        <w:t xml:space="preserve">有权拒绝接受，并按照相关审计机关或第三方审计单位确认的结算价格作为最终结算价格。</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15、服务地点：采购单位指定地点。</w:t>
      </w:r>
      <w:r>
        <w:rPr>
          <w:highlight w:val="none"/>
        </w:rPr>
      </w:r>
      <w:r/>
    </w:p>
    <w:p>
      <w:pPr>
        <w:pStyle w:val="879"/>
        <w:ind w:firstLine="48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五、政府采购政策：</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1、中、小企业：根据《关于印发&lt;苏州市政府采购促进中小企业发展实施意见&gt;的通知》（苏财购[2022]16号）规定：</w:t>
      </w:r>
      <w:r>
        <w:rPr>
          <w:highlight w:val="none"/>
        </w:rPr>
      </w:r>
      <w:r/>
    </w:p>
    <w:p>
      <w:pPr>
        <w:pStyle w:val="879"/>
        <w:ind w:firstLine="480"/>
        <w:jc w:val="left"/>
        <w:spacing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1.1本项目属于专门面向中小企业采购。</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1.3本项目采购标的对应的中小企业划分标准所属行业为：</w:t>
      </w:r>
      <w:r>
        <w:rPr>
          <w:rFonts w:hint="eastAsia" w:ascii="宋体" w:hAnsi="宋体" w:cs="宋体"/>
          <w:color w:val="000000"/>
          <w:sz w:val="24"/>
          <w:highlight w:val="none"/>
          <w:lang w:eastAsia="zh-CN"/>
        </w:rPr>
        <w:t xml:space="preserve">批发业</w:t>
      </w:r>
      <w:r>
        <w:rPr>
          <w:rFonts w:hint="eastAsia" w:ascii="宋体" w:hAnsi="宋体" w:cs="宋体"/>
          <w:color w:val="000000"/>
          <w:sz w:val="24"/>
          <w:highlight w:val="none"/>
        </w:rPr>
        <w:t xml:space="preserve">。</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1.4中小企业参加政府采购活动，应当出具《关于印发&lt;苏州市政府采购促进中小企业发展实施意见&gt;的通知》（苏财购[2022]16号）规定的《中小企业声明函》，否则不得享受相关中小企业扶持政策。</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1.6若供应商提供的《中小企业声明函》为虚假声明则视同提供虚假材料，按政府采购相关规定处理并报请政府监管部门给予行政处罚。</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highlight w:val="none"/>
        </w:rPr>
      </w:r>
      <w:r/>
    </w:p>
    <w:p>
      <w:pPr>
        <w:pStyle w:val="879"/>
        <w:ind w:firstLine="480"/>
        <w:jc w:val="left"/>
        <w:spacing w:line="360" w:lineRule="auto"/>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5、对本国产品的支持政策：根据国办发〔2025〕</w:t>
      </w:r>
      <w:r>
        <w:rPr>
          <w:rFonts w:hint="eastAsia" w:ascii="宋体" w:hAnsi="宋体" w:cs="宋体"/>
          <w:color w:val="000000"/>
          <w:sz w:val="24"/>
          <w:highlight w:val="none"/>
          <w:lang w:val="en-US" w:eastAsia="zh-CN"/>
        </w:rPr>
        <w:t xml:space="preserve">34号文《国务院办公厅关于在政府采购中实施本国产品标准及相关政策的通知》的相关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供应商应对其提供的产品出具《关于符合本国产品标准的声明函》（样式见附件，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、若供应商提供的《中小企业声明函》、《残疾人福利性单位声明函》及监狱企业认定证明等材料为虚假材料，按《政府采购法》相关规定处理并报请政府采购监管部门给予行政处罚。</w:t>
      </w:r>
      <w:r>
        <w:rPr>
          <w:highlight w:val="none"/>
        </w:rPr>
      </w:r>
      <w:r/>
    </w:p>
    <w:p>
      <w:pPr>
        <w:pStyle w:val="879"/>
        <w:ind w:firstLine="48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六、关于对参与供应商信用记录的政府采购要求</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1、采购代理机构会在接收响应文件截止时间后，登录信用中国网站（www.creditchina.gov.cn/）和中国政府采购网（www.ccgp.gov.cn/）查询供应商的信用记录，并将查询结果递交评审小组。</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2.2供应商若在经营活动中受到罚款的，请携带相关地方、部门对较大数额认定标准的证明材料，与响应文件一并提交。若无法提供，则可能承担响应无效等相应不利后果。</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2.3对存在失信信息的供应商，由失信供应商进行确认。同时，采购代理机构工作人员应根据评审小组确认的失信信息，登陆到相关来源网站页面进行复核并打印，作为证据留存。</w:t>
      </w:r>
      <w:r>
        <w:rPr>
          <w:highlight w:val="none"/>
        </w:rPr>
      </w:r>
      <w:r/>
    </w:p>
    <w:p>
      <w:pPr>
        <w:pStyle w:val="879"/>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七、行业属性：</w:t>
      </w:r>
      <w:r>
        <w:rPr>
          <w:highlight w:val="none"/>
        </w:rPr>
      </w:r>
      <w:r/>
    </w:p>
    <w:p>
      <w:pPr>
        <w:pStyle w:val="879"/>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cs="宋体"/>
          <w:b/>
          <w:color w:val="000000"/>
          <w:sz w:val="24"/>
          <w:highlight w:val="none"/>
          <w:lang w:eastAsia="zh-CN"/>
        </w:rPr>
        <w:t xml:space="preserve">批发业</w:t>
      </w:r>
      <w:r>
        <w:rPr>
          <w:highlight w:val="none"/>
        </w:rPr>
      </w:r>
      <w:r/>
    </w:p>
    <w:p>
      <w:pPr>
        <w:pStyle w:val="879"/>
        <w:ind w:firstLine="480"/>
        <w:spacing w:line="360" w:lineRule="auto"/>
        <w:rPr>
          <w:rStyle w:val="919"/>
          <w:rFonts w:ascii="宋体" w:hAnsi="宋体" w:cs="宋体"/>
          <w:b w:val="0"/>
          <w:bCs/>
          <w:color w:val="000000"/>
          <w:sz w:val="24"/>
          <w:highlight w:val="none"/>
        </w:rPr>
      </w:pPr>
      <w:r>
        <w:rPr>
          <w:rFonts w:hint="eastAsia" w:ascii="宋体" w:hAnsi="宋体" w:cs="宋体"/>
          <w:bCs/>
          <w:color w:val="000000"/>
          <w:sz w:val="24"/>
          <w:highlight w:val="none"/>
        </w:rPr>
        <w:t xml:space="preserve">八、凡涉及采购文件的补充说明和修改，均以苏州政府采购网发布的文件为准。</w:t>
      </w:r>
      <w:r>
        <w:rPr>
          <w:highlight w:val="none"/>
        </w:rPr>
      </w:r>
      <w:r/>
    </w:p>
    <w:p>
      <w:pPr>
        <w:pStyle w:val="87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79"/>
        <w:rPr>
          <w:rFonts w:ascii="宋体" w:hAnsi="宋体"/>
          <w:highlight w:val="none"/>
        </w:rPr>
      </w:pPr>
      <w:r>
        <w:rPr>
          <w:sz w:val="24"/>
          <w:highlight w:val="none"/>
        </w:rPr>
        <w:br w:type="page" w:clear="all"/>
      </w:r>
      <w:r>
        <w:rPr>
          <w:highlight w:val="none"/>
        </w:rPr>
      </w:r>
      <w:r/>
    </w:p>
    <w:p>
      <w:pPr>
        <w:pStyle w:val="1164"/>
        <w:jc w:val="center"/>
        <w:rPr>
          <w:rFonts w:hint="eastAsia" w:ascii="黑体" w:hAnsi="宋体" w:eastAsia="黑体"/>
          <w:sz w:val="52"/>
          <w:highlight w:val="none"/>
        </w:rPr>
      </w:pPr>
      <w:r>
        <w:rPr>
          <w:highlight w:val="none"/>
        </w:rPr>
      </w:r>
      <w:bookmarkStart w:id="14" w:name="_Toc25169"/>
      <w:r>
        <w:rPr>
          <w:highlight w:val="none"/>
        </w:rPr>
      </w:r>
      <w:bookmarkStart w:id="15" w:name="_Toc474491766"/>
      <w:r>
        <w:rPr>
          <w:rFonts w:hint="eastAsia" w:ascii="黑体" w:hAnsi="宋体" w:eastAsia="黑体"/>
          <w:sz w:val="52"/>
          <w:highlight w:val="none"/>
        </w:rPr>
        <w:t xml:space="preserve">第四章  合同主要条款</w:t>
      </w:r>
      <w:bookmarkEnd w:id="14"/>
      <w:r>
        <w:rPr>
          <w:highlight w:val="none"/>
        </w:rPr>
      </w:r>
      <w:bookmarkEnd w:id="15"/>
      <w:r>
        <w:rPr>
          <w:highlight w:val="none"/>
        </w:rPr>
      </w:r>
      <w:r/>
    </w:p>
    <w:p>
      <w:pPr>
        <w:pStyle w:val="879"/>
        <w:rPr>
          <w:rFonts w:ascii="宋体" w:hAnsi="宋体"/>
          <w:highlight w:val="none"/>
        </w:rPr>
      </w:pPr>
      <w:r>
        <w:rPr>
          <w:rFonts w:ascii="宋体" w:hAnsi="宋体"/>
          <w:highlight w:val="none"/>
        </w:rPr>
      </w:r>
      <w:r>
        <w:rPr>
          <w:highlight w:val="none"/>
        </w:rPr>
      </w:r>
      <w:r/>
    </w:p>
    <w:tbl>
      <w:tblPr>
        <w:tblW w:w="9673" w:type="dxa"/>
        <w:jc w:val="center"/>
        <w:tblInd w:w="-324" w:type="dxa"/>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79"/>
              <w:ind w:firstLine="480"/>
              <w:jc w:val="left"/>
              <w:spacing w:line="360" w:lineRule="auto"/>
              <w:rPr>
                <w:rFonts w:ascii="宋体" w:hAnsi="宋体" w:cs="仿宋_GB2312"/>
                <w:sz w:val="24"/>
                <w:highlight w:val="none"/>
              </w:rPr>
            </w:pPr>
            <w:r>
              <w:rPr>
                <w:rFonts w:hint="eastAsia" w:ascii="宋体" w:hAnsi="宋体" w:cs="仿宋_GB2312"/>
                <w:sz w:val="24"/>
                <w:highlight w:val="none"/>
              </w:rPr>
              <w:t xml:space="preserve">采购方（采购单位）：</w:t>
            </w:r>
            <w:r>
              <w:rPr>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79"/>
              <w:spacing w:line="360" w:lineRule="auto"/>
              <w:rPr>
                <w:rFonts w:ascii="宋体" w:hAnsi="宋体" w:cs="仿宋_GB2312"/>
                <w:sz w:val="24"/>
                <w:highlight w:val="none"/>
              </w:rPr>
            </w:pPr>
            <w:r>
              <w:rPr>
                <w:rFonts w:hint="eastAsia" w:ascii="宋体" w:hAnsi="宋体" w:cs="仿宋_GB2312"/>
                <w:sz w:val="24"/>
                <w:highlight w:val="none"/>
              </w:rPr>
              <w:t xml:space="preserve">单位地址：</w:t>
            </w:r>
            <w:r>
              <w:rPr>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79"/>
              <w:ind w:firstLine="480"/>
              <w:spacing w:line="360" w:lineRule="auto"/>
              <w:rPr>
                <w:rFonts w:ascii="宋体" w:hAnsi="宋体" w:cs="仿宋_GB2312"/>
                <w:sz w:val="24"/>
                <w:highlight w:val="none"/>
              </w:rPr>
            </w:pPr>
            <w:r>
              <w:rPr>
                <w:rFonts w:hint="eastAsia" w:ascii="宋体" w:hAnsi="宋体" w:cs="仿宋_GB2312"/>
                <w:sz w:val="24"/>
                <w:highlight w:val="none"/>
              </w:rPr>
              <w:t xml:space="preserve">联系人：</w:t>
            </w:r>
            <w:r>
              <w:rPr>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79"/>
              <w:spacing w:line="360" w:lineRule="auto"/>
              <w:rPr>
                <w:rFonts w:ascii="宋体" w:hAnsi="宋体" w:cs="仿宋_GB2312"/>
                <w:sz w:val="24"/>
                <w:highlight w:val="none"/>
              </w:rPr>
            </w:pPr>
            <w:r>
              <w:rPr>
                <w:rFonts w:hint="eastAsia" w:ascii="宋体" w:hAnsi="宋体" w:cs="仿宋_GB2312"/>
                <w:sz w:val="24"/>
                <w:highlight w:val="none"/>
              </w:rPr>
              <w:t xml:space="preserve">联系电话：</w:t>
            </w:r>
            <w:r>
              <w:rPr>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79"/>
              <w:ind w:firstLine="480"/>
              <w:spacing w:line="360" w:lineRule="auto"/>
              <w:rPr>
                <w:rFonts w:hint="eastAsia" w:ascii="宋体" w:hAnsi="宋体" w:cs="仿宋_GB2312"/>
                <w:sz w:val="24"/>
                <w:highlight w:val="none"/>
              </w:rPr>
            </w:pPr>
            <w:r>
              <w:rPr>
                <w:rFonts w:hint="eastAsia" w:ascii="宋体" w:hAnsi="宋体" w:cs="仿宋_GB2312"/>
                <w:sz w:val="24"/>
                <w:highlight w:val="none"/>
              </w:rPr>
              <w:t xml:space="preserve">供应商（供应商（服务单位））：</w:t>
            </w:r>
            <w:r>
              <w:rPr>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79"/>
              <w:spacing w:line="360" w:lineRule="auto"/>
              <w:rPr>
                <w:rFonts w:hint="eastAsia" w:ascii="宋体" w:hAnsi="宋体" w:cs="仿宋_GB2312"/>
                <w:sz w:val="24"/>
                <w:highlight w:val="none"/>
              </w:rPr>
            </w:pPr>
            <w:r>
              <w:rPr>
                <w:rFonts w:hint="eastAsia" w:ascii="宋体" w:hAnsi="宋体" w:cs="仿宋_GB2312"/>
                <w:sz w:val="24"/>
                <w:highlight w:val="none"/>
              </w:rPr>
              <w:t xml:space="preserve">单位地址：</w:t>
            </w:r>
            <w:r>
              <w:rPr>
                <w:highlight w:val="none"/>
              </w:rPr>
            </w:r>
            <w:r/>
          </w:p>
        </w:tc>
      </w:tr>
      <w:t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pStyle w:val="879"/>
              <w:ind w:firstLine="480"/>
              <w:spacing w:line="360" w:lineRule="auto"/>
              <w:rPr>
                <w:rFonts w:hint="eastAsia" w:ascii="宋体" w:hAnsi="宋体" w:cs="仿宋_GB2312"/>
                <w:sz w:val="24"/>
                <w:highlight w:val="none"/>
              </w:rPr>
            </w:pPr>
            <w:r>
              <w:rPr>
                <w:rFonts w:hint="eastAsia" w:ascii="宋体" w:hAnsi="宋体" w:cs="仿宋_GB2312"/>
                <w:sz w:val="24"/>
                <w:highlight w:val="none"/>
              </w:rPr>
              <w:t xml:space="preserve">联系人：</w:t>
            </w:r>
            <w:r>
              <w:rPr>
                <w:highlight w:val="none"/>
              </w:r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Style w:val="879"/>
              <w:spacing w:line="360" w:lineRule="auto"/>
              <w:rPr>
                <w:rFonts w:hint="eastAsia" w:ascii="宋体" w:hAnsi="宋体" w:cs="仿宋_GB2312"/>
                <w:sz w:val="24"/>
                <w:highlight w:val="none"/>
              </w:rPr>
            </w:pPr>
            <w:r>
              <w:rPr>
                <w:rFonts w:hint="eastAsia" w:ascii="宋体" w:hAnsi="宋体" w:cs="仿宋_GB2312"/>
                <w:sz w:val="24"/>
                <w:highlight w:val="none"/>
              </w:rPr>
              <w:t xml:space="preserve">联系电话：</w:t>
            </w:r>
            <w:r>
              <w:rPr>
                <w:highlight w:val="none"/>
              </w:rPr>
            </w:r>
            <w:r/>
          </w:p>
        </w:tc>
      </w:tr>
    </w:tbl>
    <w:p>
      <w:pPr>
        <w:pStyle w:val="879"/>
        <w:ind w:firstLine="480"/>
        <w:spacing w:line="360" w:lineRule="auto"/>
        <w:rPr>
          <w:rFonts w:ascii="宋体" w:hAnsi="宋体" w:cs="宋体"/>
          <w:sz w:val="24"/>
          <w:highlight w:val="none"/>
        </w:rPr>
      </w:pPr>
      <w:r>
        <w:rPr>
          <w:rFonts w:ascii="宋体" w:hAnsi="宋体" w:cs="宋体"/>
          <w:sz w:val="24"/>
          <w:highlight w:val="none"/>
        </w:rPr>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lang w:eastAsia="zh-CN"/>
        </w:rPr>
        <w:t xml:space="preserve">苏州市吴中区人民政府太湖街道办事处</w:t>
      </w:r>
      <w:r>
        <w:rPr>
          <w:rFonts w:hint="eastAsia" w:ascii="宋体" w:hAnsi="宋体" w:cs="宋体"/>
          <w:sz w:val="24"/>
          <w:highlight w:val="none"/>
        </w:rPr>
        <w:t xml:space="preserve">的</w:t>
      </w:r>
      <w:r>
        <w:rPr>
          <w:rFonts w:hint="eastAsia" w:ascii="宋体" w:hAnsi="宋体" w:cs="宋体"/>
          <w:sz w:val="24"/>
          <w:highlight w:val="none"/>
          <w:lang w:eastAsia="zh-CN"/>
        </w:rPr>
        <w:t xml:space="preserve">2026年太湖街道食堂食材配送项目</w:t>
      </w:r>
      <w:r>
        <w:rPr>
          <w:rFonts w:hint="eastAsia" w:ascii="宋体" w:hAnsi="宋体" w:cs="宋体"/>
          <w:sz w:val="24"/>
          <w:highlight w:val="none"/>
        </w:rPr>
        <w:t xml:space="preserve">项目采购竞争性磋商文件（编号：</w:t>
      </w:r>
      <w:r>
        <w:rPr>
          <w:rFonts w:hint="eastAsia" w:ascii="宋体" w:hAnsi="宋体" w:cs="宋体"/>
          <w:sz w:val="24"/>
          <w:highlight w:val="none"/>
          <w:lang w:eastAsia="zh-CN"/>
        </w:rPr>
        <w:t xml:space="preserve">JSZC-320506-ZHCD-C2025-0024</w:t>
      </w:r>
      <w:r>
        <w:rPr>
          <w:rFonts w:hint="eastAsia" w:ascii="宋体" w:hAnsi="宋体" w:cs="宋体"/>
          <w:sz w:val="24"/>
          <w:highlight w:val="none"/>
        </w:rPr>
        <w:t xml:space="preserve">）、该项目的《成交通知书》、《中华人民共和国民法典》有关规定，为明确采购单位和供应商（服务单位）服务过程中的权利、义务和经济责任，经双方友好协商，签订以下条款，以兹共同遵守。</w:t>
      </w:r>
      <w:r>
        <w:rPr>
          <w:highlight w:val="none"/>
        </w:rPr>
      </w:r>
      <w:r/>
    </w:p>
    <w:p>
      <w:pPr>
        <w:pStyle w:val="879"/>
        <w:ind w:firstLine="482"/>
        <w:spacing w:line="360" w:lineRule="auto"/>
        <w:rPr>
          <w:rFonts w:ascii="宋体" w:hAnsi="宋体" w:cs="宋体"/>
          <w:sz w:val="24"/>
          <w:highlight w:val="none"/>
        </w:rPr>
      </w:pPr>
      <w:r>
        <w:rPr>
          <w:rFonts w:hint="eastAsia" w:ascii="宋体" w:hAnsi="宋体" w:cs="宋体"/>
          <w:b/>
          <w:bCs/>
          <w:sz w:val="24"/>
          <w:highlight w:val="none"/>
        </w:rPr>
        <w:t xml:space="preserve">一、合同价格及付款步骤：</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合同暂定金额</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元，</w:t>
      </w:r>
      <w:r>
        <w:rPr>
          <w:rFonts w:hint="eastAsia" w:ascii="宋体" w:hAnsi="宋体" w:cs="宋体"/>
          <w:sz w:val="24"/>
          <w:highlight w:val="none"/>
          <w:lang w:val="en-US" w:eastAsia="zh-CN"/>
        </w:rPr>
        <w:t xml:space="preserve">成交</w:t>
      </w:r>
      <w:r>
        <w:rPr>
          <w:rFonts w:hint="eastAsia" w:ascii="宋体" w:hAnsi="宋体" w:cs="宋体"/>
          <w:sz w:val="24"/>
          <w:highlight w:val="none"/>
        </w:rPr>
        <w:t xml:space="preserve">下浮率</w:t>
      </w:r>
      <w:r>
        <w:rPr>
          <w:rFonts w:hint="eastAsia" w:ascii="宋体" w:hAnsi="宋体" w:cs="宋体"/>
          <w:sz w:val="24"/>
          <w:highlight w:val="none"/>
          <w:u w:val="single"/>
        </w:rPr>
        <w:t xml:space="preserve">        </w:t>
      </w:r>
      <w:r>
        <w:rPr>
          <w:rFonts w:hint="eastAsia" w:ascii="宋体" w:hAnsi="宋体" w:cs="宋体"/>
          <w:sz w:val="24"/>
          <w:highlight w:val="none"/>
        </w:rPr>
        <w:t xml:space="preserve">%，费用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w:t>
      </w:r>
      <w:r>
        <w:rPr>
          <w:highlight w:val="none"/>
        </w:rPr>
      </w:r>
      <w:r/>
    </w:p>
    <w:p>
      <w:pPr>
        <w:pStyle w:val="879"/>
        <w:ind w:firstLine="48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bCs/>
          <w:sz w:val="24"/>
          <w:highlight w:val="none"/>
        </w:rPr>
        <w:t xml:space="preserve">合同签订后，支付合同金额10%的预付款。在签订合同时，乙方明确表示无需预付款或者主动要求降低预付款比例的，甲方可不适用上述关于预付款的规定。</w:t>
      </w:r>
      <w:r>
        <w:rPr>
          <w:rFonts w:hint="eastAsia" w:ascii="宋体" w:hAnsi="宋体" w:cs="宋体"/>
          <w:sz w:val="24"/>
          <w:highlight w:val="none"/>
        </w:rPr>
        <w:t xml:space="preserve">甲方根据乙方当月实际配送种类、数量及价格结算货款。货款每个月结算一次，并于次月20日前结清（若遇节假日顺延至节假日后第一个工作日）；乙方需在双方核对货款金额无误后提前向甲方提供由其出具的符合甲方要求的国家正式税务发票，甲方以转账方式将货款转入乙方指定的帐户，不得将货款交给其他人员。</w:t>
      </w:r>
      <w:r>
        <w:rPr>
          <w:highlight w:val="none"/>
        </w:rPr>
      </w:r>
      <w:r/>
    </w:p>
    <w:p>
      <w:pPr>
        <w:pStyle w:val="879"/>
        <w:ind w:firstLine="482"/>
        <w:jc w:val="left"/>
        <w:spacing w:line="360" w:lineRule="auto"/>
        <w:rPr>
          <w:rFonts w:ascii="宋体" w:hAnsi="宋体" w:cs="宋体"/>
          <w:sz w:val="24"/>
          <w:highlight w:val="none"/>
        </w:rPr>
      </w:pPr>
      <w:r>
        <w:rPr>
          <w:rFonts w:hint="eastAsia" w:ascii="宋体" w:hAnsi="宋体" w:cs="宋体"/>
          <w:b/>
          <w:bCs/>
          <w:sz w:val="24"/>
          <w:highlight w:val="none"/>
        </w:rPr>
        <w:t xml:space="preserve">二、服务地点</w:t>
      </w:r>
      <w:r>
        <w:rPr>
          <w:rFonts w:hint="eastAsia" w:ascii="宋体" w:hAnsi="宋体" w:cs="宋体"/>
          <w:sz w:val="24"/>
          <w:highlight w:val="none"/>
        </w:rPr>
        <w:t xml:space="preserve">：</w:t>
      </w:r>
      <w:r>
        <w:rPr>
          <w:rFonts w:hint="eastAsia" w:ascii="宋体" w:hAnsi="宋体" w:cs="宋体"/>
          <w:sz w:val="24"/>
          <w:highlight w:val="none"/>
          <w:lang w:eastAsia="zh-CN"/>
        </w:rPr>
        <w:t xml:space="preserve">太湖街道食堂</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lang w:val="zh-CN"/>
        </w:rPr>
        <w:t xml:space="preserve">项目名称：2026年太湖街道食堂食材配送项目</w:t>
      </w:r>
      <w:r>
        <w:rPr>
          <w:highlight w:val="none"/>
        </w:rPr>
      </w:r>
      <w:r/>
    </w:p>
    <w:p>
      <w:pPr>
        <w:pStyle w:val="879"/>
        <w:ind w:firstLine="480"/>
        <w:spacing w:line="360" w:lineRule="auto"/>
        <w:rPr>
          <w:rFonts w:hint="eastAsia" w:ascii="宋体" w:hAnsi="宋体" w:eastAsia="宋体" w:cs="宋体"/>
          <w:sz w:val="24"/>
          <w:highlight w:val="none"/>
        </w:rPr>
      </w:pPr>
      <w:r>
        <w:rPr>
          <w:rFonts w:hint="eastAsia" w:ascii="宋体" w:hAnsi="宋体" w:cs="宋体"/>
          <w:sz w:val="24"/>
          <w:highlight w:val="none"/>
          <w:lang w:val="zh-CN"/>
        </w:rPr>
        <w:t xml:space="preserve">服务期限：</w:t>
      </w:r>
      <w:r>
        <w:rPr>
          <w:rFonts w:hint="eastAsia" w:ascii="宋体" w:hAnsi="宋体" w:cs="宋体"/>
          <w:sz w:val="24"/>
          <w:highlight w:val="none"/>
          <w:lang w:eastAsia="zh-CN"/>
        </w:rPr>
        <w:t xml:space="preserve">壹年，（</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日  至</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年</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月</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val="en-US" w:eastAsia="zh-CN"/>
        </w:rPr>
        <w:t xml:space="preserve">日</w:t>
      </w:r>
      <w:r>
        <w:rPr>
          <w:rFonts w:hint="eastAsia" w:ascii="宋体" w:hAnsi="宋体" w:cs="宋体"/>
          <w:sz w:val="24"/>
          <w:highlight w:val="none"/>
          <w:lang w:eastAsia="zh-CN"/>
        </w:rPr>
        <w:t xml:space="preserve">）。</w:t>
      </w:r>
      <w:r>
        <w:rPr>
          <w:highlight w:val="none"/>
        </w:rPr>
      </w:r>
      <w:r/>
    </w:p>
    <w:p>
      <w:pPr>
        <w:pStyle w:val="879"/>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三、下列文件为本合同不可分割部分：</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（1）中标通知书；</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（2）乙方的投标文件；</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（3）乙方在投标过程中所作的其它承诺、声明、书面澄清等；</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（4）招标文件及其附件；</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（5）合同附件；</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以上与本合同具有同等法律效力。</w:t>
      </w:r>
      <w:r>
        <w:rPr>
          <w:highlight w:val="none"/>
        </w:rPr>
      </w:r>
      <w:r/>
    </w:p>
    <w:p>
      <w:pPr>
        <w:pStyle w:val="879"/>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原材料要求：</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（一）主要原材料质量标准：</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1、大米配送标准：新大米（国标一级），必须符合国家最新标准，并拥有“SC食品生产许可证”。</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2、面粉配送标准：面粉级别为特一级，必须符合国家最新标准，并拥有“SC食品生产许可证”。</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3、食用油配送标准：非转基因食用油，每桶5升左右，必须符合国家食用植物油卫生标准，并具有“SC食品生产许可证”。</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4、猪肉配送标准：使用冷鲜肉品牌产品，猪肉质量必须符合国家最新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5、家禽冻品（鸡腿、鸡翅等）质量要求：配送单位须提供产品合格证明文件，动物产品提供《动物或动物产品分销信息凭证》或《动物检疫合格证》。</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6、豆制品质量要求：发酵性豆制品必须符合国家最新标准，非发酵豆制品必须符合GBT22106-2008标准、GB2711-2003非发酵性豆制品及面筋卫生标准，对豆制品的有关安全健康指标符合国家最新规定。</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7、水产品质量要求：必须符合国家《鲜、冻动物性水产品卫生标准》、国家《鱼糜制品卫生标准》、国家《水产调味品卫生标准》、国家《腌制生食动物性水产品卫生标准》、国家《动物性水产干制品卫生标准》、国家《藻类制品卫生标准》等。产品的感观、安全、卫生、稳定性等指标符合相关规定。</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8、无公害蔬菜质量要求：必须符合国家农产品安全质量无公害蔬菜安全要求，对蔬菜中有害物质严格控制在标准规定范围之内。</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9、调味品质量要求：食用盐、酱油、味精、生粉（淀粉制品）、食糖、食醋、酿造食醋等都必须符合国家最新标准。</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10、食品添加剂质量要求：食品添加剂应符合相应的食品安全标准，添加剂的使用必须符合国家最新标准，对食品的添加量严格控制在标准规定范围之内。</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11、鲜蛋质量要求：鸡蛋等新鲜蛋类必须符合国家最新标准。</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12、水果质量要求：必须符合农产品安全质量无公害蔬菜安全要求，对蔬菜中有害物质严格控制在标准规定范围之内。</w:t>
      </w:r>
      <w:r>
        <w:rPr>
          <w:highlight w:val="none"/>
        </w:rPr>
      </w:r>
      <w:r/>
    </w:p>
    <w:p>
      <w:pPr>
        <w:pStyle w:val="1005"/>
        <w:spacing w:line="360" w:lineRule="auto"/>
        <w:tabs>
          <w:tab w:val="left" w:pos="360" w:leader="none"/>
        </w:tabs>
        <w:rPr>
          <w:rFonts w:hint="eastAsia" w:ascii="宋体" w:hAnsi="宋体" w:cs="宋体"/>
          <w:bCs/>
          <w:highlight w:val="none"/>
        </w:rPr>
      </w:pPr>
      <w:r>
        <w:rPr>
          <w:rFonts w:hint="eastAsia" w:ascii="宋体" w:hAnsi="宋体" w:cs="宋体"/>
          <w:bCs/>
          <w:highlight w:val="none"/>
        </w:rPr>
        <w:t xml:space="preserve">13、奶制品:食材包装及外观干净、整洁，生产日期、保质期、贮藏条件标识清晰，须在保质期内:符合国家标准。</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（二）食材检测要求：</w:t>
      </w:r>
      <w:r>
        <w:rPr>
          <w:highlight w:val="none"/>
        </w:rPr>
      </w:r>
      <w:r/>
    </w:p>
    <w:p>
      <w:pPr>
        <w:pStyle w:val="879"/>
        <w:ind w:firstLine="480"/>
        <w:spacing w:line="360" w:lineRule="auto"/>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肉类（含家禽、鱼、肉、冷鲜肉及冷冻肉等）、豆制品、调味品、食用油必须使用优质品牌产品，即由所处经营领域中有较高知名度与美誉度的大型企业提供，其产品可以追根溯源。</w:t>
      </w:r>
      <w:r>
        <w:rPr>
          <w:highlight w:val="none"/>
        </w:rPr>
      </w:r>
      <w:r/>
    </w:p>
    <w:p>
      <w:pPr>
        <w:pStyle w:val="879"/>
        <w:ind w:firstLine="480"/>
        <w:spacing w:line="360" w:lineRule="auto"/>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每次配送的食材均需提供相关的检测报告或检验合格证。</w:t>
      </w:r>
      <w:r>
        <w:rPr>
          <w:highlight w:val="none"/>
        </w:rPr>
      </w:r>
      <w:r/>
    </w:p>
    <w:p>
      <w:pPr>
        <w:pStyle w:val="879"/>
        <w:ind w:firstLine="480"/>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、采购单位</w:t>
      </w:r>
      <w:r>
        <w:rPr>
          <w:rFonts w:ascii="宋体" w:hAnsi="宋体"/>
          <w:sz w:val="24"/>
          <w:highlight w:val="none"/>
        </w:rPr>
        <w:t xml:space="preserve">将委托权威部门定期对配送单位提供的食材进行抽样检测，如检测发现质量问题，由配送单位承担检测费用及相关责任。</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（三）食材配送日常要求：</w:t>
      </w:r>
      <w:r>
        <w:rPr>
          <w:highlight w:val="none"/>
        </w:rPr>
      </w:r>
      <w:r/>
    </w:p>
    <w:p>
      <w:pPr>
        <w:pStyle w:val="879"/>
        <w:ind w:firstLine="480"/>
        <w:jc w:val="left"/>
        <w:spacing w:line="360" w:lineRule="auto"/>
        <w:rPr>
          <w:rFonts w:hint="eastAsia" w:ascii="宋体" w:hAnsi="宋体"/>
          <w:sz w:val="24"/>
          <w:highlight w:val="none"/>
          <w:u w:val="single"/>
        </w:rPr>
      </w:pPr>
      <w:r>
        <w:rPr>
          <w:rFonts w:hint="eastAsia" w:ascii="宋体" w:hAnsi="宋体"/>
          <w:sz w:val="24"/>
          <w:highlight w:val="none"/>
          <w:lang w:bidi="en-US"/>
        </w:rPr>
        <w:t xml:space="preserve">1、配送品牌要求：</w:t>
      </w:r>
      <w:r>
        <w:rPr>
          <w:highlight w:val="none"/>
        </w:rPr>
      </w:r>
      <w:r/>
    </w:p>
    <w:tbl>
      <w:tblPr>
        <w:tblW w:w="4999"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05"/>
        <w:gridCol w:w="6673"/>
      </w:tblGrid>
      <w:tr>
        <w:trPr>
          <w:trHeight w:val="444"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食材类别</w:t>
            </w:r>
            <w:r>
              <w:rPr>
                <w:highlight w:val="none"/>
              </w:rPr>
            </w:r>
            <w:r/>
          </w:p>
        </w:tc>
        <w:tc>
          <w:tcPr>
            <w:tcW w:w="3310"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食材品牌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肉类</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雨润、双汇、青莲、中粮（不低于上述档次品牌）</w:t>
            </w:r>
            <w:r>
              <w:rPr>
                <w:highlight w:val="none"/>
              </w:rPr>
            </w:r>
            <w:r/>
          </w:p>
        </w:tc>
      </w:tr>
      <w:tr>
        <w:trPr>
          <w:trHeight w:val="58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食用油（非转基因）</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金成、福临门、金龙鱼（不低于上述档次品牌）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调味品</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海天、李锦记、太太乐（不低于上述档次品牌）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冷冻品</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大成、成达、六和、凯牧（不低于上述档次品牌）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豆制品</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艺杏、祖名、日和（不低于上述档次品牌）</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水产</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本地基地（优选）</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蔬菜</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本地基地（优选）</w:t>
            </w:r>
            <w:r>
              <w:rPr>
                <w:highlight w:val="none"/>
              </w:rPr>
            </w:r>
            <w:r/>
          </w:p>
        </w:tc>
      </w:tr>
      <w:tr>
        <w:trPr>
          <w:trHeight w:val="567"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禽蛋</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菜场</w:t>
            </w:r>
            <w:r>
              <w:rPr>
                <w:highlight w:val="none"/>
              </w:rPr>
            </w:r>
            <w:r/>
          </w:p>
        </w:tc>
      </w:tr>
      <w:tr>
        <w:trPr>
          <w:trHeight w:val="544"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南北干货</w:t>
            </w:r>
            <w:r>
              <w:rPr>
                <w:highlight w:val="none"/>
              </w:rPr>
            </w:r>
            <w:r/>
          </w:p>
        </w:tc>
        <w:tc>
          <w:tcPr>
            <w:tcW w:w="3310" w:type="dxa"/>
            <w:vAlign w:val="center"/>
            <w:textDirection w:val="lrTb"/>
            <w:noWrap w:val="false"/>
          </w:tcPr>
          <w:p>
            <w:pPr>
              <w:pStyle w:val="879"/>
              <w:jc w:val="left"/>
              <w:spacing w:line="360" w:lineRule="auto"/>
              <w:rPr>
                <w:rFonts w:hint="eastAsia" w:ascii="宋体" w:hAnsi="宋体"/>
                <w:sz w:val="24"/>
                <w:highlight w:val="none"/>
              </w:rPr>
            </w:pPr>
            <w:r>
              <w:rPr>
                <w:rFonts w:hint="eastAsia" w:ascii="宋体" w:hAnsi="宋体"/>
                <w:sz w:val="24"/>
                <w:highlight w:val="none"/>
                <w:lang w:bidi="en-US"/>
              </w:rPr>
              <w:t xml:space="preserve">菜场</w:t>
            </w:r>
            <w:r>
              <w:rPr>
                <w:highlight w:val="none"/>
              </w:rPr>
            </w:r>
            <w:r/>
          </w:p>
        </w:tc>
      </w:tr>
      <w:tr>
        <w:trPr>
          <w:trHeight w:val="448" w:hRule="exact"/>
        </w:trPr>
        <w:tc>
          <w:tcPr>
            <w:tcW w:w="1689"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lang w:bidi="en-US"/>
              </w:rPr>
              <w:t xml:space="preserve">其他</w:t>
            </w:r>
            <w:r>
              <w:rPr>
                <w:highlight w:val="none"/>
              </w:rPr>
            </w:r>
            <w:r/>
          </w:p>
        </w:tc>
        <w:tc>
          <w:tcPr>
            <w:tcW w:w="3310" w:type="dxa"/>
            <w:vAlign w:val="center"/>
            <w:textDirection w:val="lrTb"/>
            <w:noWrap w:val="false"/>
          </w:tcPr>
          <w:p>
            <w:pPr>
              <w:pStyle w:val="879"/>
              <w:ind w:firstLine="480"/>
              <w:jc w:val="left"/>
              <w:spacing w:line="360" w:lineRule="auto"/>
              <w:rPr>
                <w:rFonts w:hint="eastAsia" w:ascii="宋体" w:hAnsi="宋体"/>
                <w:sz w:val="24"/>
                <w:highlight w:val="none"/>
              </w:rPr>
            </w:pPr>
            <w:r>
              <w:rPr>
                <w:rFonts w:hint="eastAsia" w:ascii="宋体" w:hAnsi="宋体"/>
                <w:sz w:val="24"/>
                <w:highlight w:val="none"/>
              </w:rPr>
            </w:r>
            <w:r>
              <w:rPr>
                <w:highlight w:val="none"/>
              </w:rPr>
            </w:r>
            <w:r/>
          </w:p>
        </w:tc>
      </w:tr>
    </w:tbl>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标单位供应的食材必须符合《中华人民共和国食品安全法》标准，并根据协议约定和采购单位食堂提出的品种、规格、品牌、数量、质量要求在规定的时间内及时送到。每日的配送清单须是打印稿，如发现食材卫生质量问题或者以次充好，采购单位可立即无条件退货或换货，并对配送单位扣除进行本次配送货物金额5-10倍的货款作为违约金。</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3、配送单位严禁</w:t>
      </w:r>
      <w:r>
        <w:rPr>
          <w:rFonts w:hint="eastAsia" w:ascii="宋体" w:hAnsi="宋体" w:cs="宋体"/>
          <w:sz w:val="24"/>
          <w:highlight w:val="none"/>
        </w:rPr>
        <w:t xml:space="preserve">提供以下食品：（1）无品名、产地、厂名、生产日期、保质期及中文标识及原料说明的定型包装食品（除蔬菜、面点、早点等非定型包装食品）；（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他不符合食品卫生标准和要求的食品。</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如因配送单位所供应食品的质量问题引起员工食物中毒等食源性疾病的发生或其他事故，由配送单位负全部责任，并承担由此而引起的全部经济损失及相关法律责任。情节较为严重的，采购单位有权立即终止供货协议，并按相关法律处理。</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（四）配送频率要求：</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1、每天送货一次，应急配送的在收到通知后半小时内响应，1小时内完成或提出解决方案。</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3、配送车辆符合国家食品运输相关规定。</w:t>
      </w:r>
      <w:r>
        <w:rPr>
          <w:highlight w:val="none"/>
        </w:rPr>
      </w:r>
      <w:r/>
    </w:p>
    <w:p>
      <w:pPr>
        <w:pStyle w:val="879"/>
        <w:ind w:firstLine="360"/>
        <w:spacing w:line="360" w:lineRule="auto"/>
        <w:rPr>
          <w:rFonts w:hint="eastAsia" w:ascii="宋体" w:hAnsi="宋体"/>
          <w:sz w:val="24"/>
          <w:highlight w:val="none"/>
        </w:rPr>
      </w:pPr>
      <w:r>
        <w:rPr>
          <w:rFonts w:hint="eastAsia" w:ascii="宋体" w:hAnsi="宋体"/>
          <w:sz w:val="24"/>
          <w:highlight w:val="none"/>
        </w:rPr>
        <w:t xml:space="preserve">（五）其他要求</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由于本项目涉及</w:t>
      </w:r>
      <w:r>
        <w:rPr>
          <w:rFonts w:hint="eastAsia" w:ascii="宋体" w:hAnsi="宋体"/>
          <w:sz w:val="24"/>
          <w:highlight w:val="none"/>
          <w:lang w:val="en-US" w:eastAsia="zh-CN"/>
        </w:rPr>
        <w:t xml:space="preserve">到食品安全与卫生，</w:t>
      </w:r>
      <w:r>
        <w:rPr>
          <w:rFonts w:hint="eastAsia" w:ascii="宋体" w:hAnsi="宋体"/>
          <w:sz w:val="24"/>
          <w:highlight w:val="none"/>
        </w:rPr>
        <w:t xml:space="preserve">尤其考虑到该项目服务包含环境卫生</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食品安全等关乎人员身体健康</w:t>
      </w:r>
      <w:r>
        <w:rPr>
          <w:rFonts w:hint="eastAsia" w:ascii="宋体" w:hAnsi="宋体"/>
          <w:sz w:val="24"/>
          <w:highlight w:val="none"/>
        </w:rPr>
        <w:t xml:space="preserve">等方面的服务，因此要求</w:t>
      </w:r>
      <w:r>
        <w:rPr>
          <w:rFonts w:hint="eastAsia" w:ascii="宋体" w:hAnsi="宋体"/>
          <w:sz w:val="24"/>
          <w:highlight w:val="none"/>
          <w:lang w:val="en-US" w:eastAsia="zh-CN"/>
        </w:rPr>
        <w:t xml:space="preserve">供应商</w:t>
      </w:r>
      <w:r>
        <w:rPr>
          <w:rFonts w:hint="eastAsia" w:ascii="宋体" w:hAnsi="宋体"/>
          <w:sz w:val="24"/>
          <w:highlight w:val="none"/>
        </w:rPr>
        <w:t xml:space="preserve">在自身完善</w:t>
      </w:r>
      <w:r>
        <w:rPr>
          <w:rFonts w:hint="eastAsia" w:ascii="宋体" w:hAnsi="宋体"/>
          <w:sz w:val="24"/>
          <w:highlight w:val="none"/>
          <w:lang w:val="en-US" w:eastAsia="zh-CN"/>
        </w:rPr>
        <w:t xml:space="preserve">相应的</w:t>
      </w:r>
      <w:r>
        <w:rPr>
          <w:rFonts w:hint="eastAsia" w:ascii="宋体" w:hAnsi="宋体"/>
          <w:sz w:val="24"/>
          <w:highlight w:val="none"/>
        </w:rPr>
        <w:t xml:space="preserve">管理体系的基础上，应该承担一定的社会责任，</w:t>
      </w:r>
      <w:r>
        <w:rPr>
          <w:rFonts w:hint="eastAsia" w:ascii="宋体" w:hAnsi="宋体"/>
          <w:sz w:val="24"/>
          <w:highlight w:val="none"/>
          <w:lang w:val="en-US" w:eastAsia="zh-CN"/>
        </w:rPr>
        <w:t xml:space="preserve">具备有关食品安全与人员健康相关管理能力为佳，同时所配备服务人员应该具备与食品安全等相关的服务人员为佳</w:t>
      </w:r>
      <w:r>
        <w:rPr>
          <w:rFonts w:hint="eastAsia" w:ascii="宋体" w:hAnsi="宋体"/>
          <w:sz w:val="24"/>
          <w:highlight w:val="none"/>
        </w:rPr>
        <w:t xml:space="preserve">。</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1、各供应商需对本项目及自身情况（包括但不限于</w:t>
      </w:r>
      <w:r>
        <w:rPr>
          <w:rFonts w:hint="eastAsia" w:hAnsi="宋体"/>
          <w:sz w:val="24"/>
          <w:highlight w:val="none"/>
        </w:rPr>
        <w:t xml:space="preserve">所有食材、包装、税费、运杂（到位）、保险、管理、售后服务等全部费用以及响应单位企业利润、税金和政策性文件规定及合同包含的所有风险、责任、代理服务费等各项应有费用</w:t>
      </w:r>
      <w:r>
        <w:rPr>
          <w:rFonts w:hint="eastAsia" w:ascii="宋体" w:hAnsi="宋体"/>
          <w:sz w:val="24"/>
          <w:highlight w:val="none"/>
        </w:rPr>
        <w:t xml:space="preserve">）报出针对原材料的</w:t>
      </w:r>
      <w:r>
        <w:rPr>
          <w:rFonts w:hint="eastAsia" w:ascii="宋体" w:hAnsi="宋体"/>
          <w:sz w:val="24"/>
          <w:highlight w:val="none"/>
          <w:lang w:eastAsia="zh-CN"/>
        </w:rPr>
        <w:t xml:space="preserve">下浮率</w:t>
      </w:r>
      <w:r>
        <w:rPr>
          <w:rFonts w:hint="eastAsia" w:ascii="宋体" w:hAnsi="宋体"/>
          <w:sz w:val="24"/>
          <w:highlight w:val="none"/>
        </w:rPr>
        <w:t xml:space="preserve">。</w:t>
      </w:r>
      <w:r>
        <w:rPr>
          <w:highlight w:val="none"/>
        </w:rPr>
      </w:r>
      <w:r/>
    </w:p>
    <w:p>
      <w:pPr>
        <w:pStyle w:val="879"/>
        <w:ind w:firstLine="480"/>
        <w:spacing w:line="360" w:lineRule="auto"/>
        <w:rPr>
          <w:rFonts w:hint="eastAsia" w:ascii="宋体" w:hAnsi="宋体"/>
          <w:sz w:val="24"/>
          <w:highlight w:val="none"/>
        </w:rPr>
      </w:pPr>
      <w:r>
        <w:rPr>
          <w:rFonts w:hint="eastAsia" w:ascii="宋体" w:hAnsi="宋体"/>
          <w:sz w:val="24"/>
          <w:highlight w:val="none"/>
        </w:rPr>
        <w:t xml:space="preserve">2、若采购单位有特殊情况需临时要求供货，中标单位须有相应的应急预案，并承诺在采购单位规定的合理时间范围内能送货至采购单位指定地点。</w:t>
      </w:r>
      <w:r>
        <w:rPr>
          <w:highlight w:val="none"/>
        </w:rPr>
      </w:r>
      <w:r/>
    </w:p>
    <w:p>
      <w:pPr>
        <w:pStyle w:val="879"/>
        <w:ind w:firstLine="480"/>
        <w:spacing w:line="360" w:lineRule="auto"/>
        <w:tabs>
          <w:tab w:val="left" w:pos="6521" w:leader="none"/>
        </w:tabs>
        <w:rPr>
          <w:rFonts w:hint="eastAsia" w:ascii="宋体" w:hAnsi="宋体" w:eastAsia="宋体"/>
          <w:sz w:val="24"/>
          <w:highlight w:val="none"/>
        </w:rPr>
      </w:pPr>
      <w:r>
        <w:rPr>
          <w:rFonts w:hint="eastAsia" w:ascii="宋体" w:hAnsi="宋体"/>
          <w:sz w:val="24"/>
          <w:highlight w:val="none"/>
        </w:rPr>
        <w:t xml:space="preserve">3、经核有下列情形之一者采购方有权立即终止配送单位的配送工作，并终止与之签订的食堂配送协议：（1）原材料问题引起的员工食物中毒等食源性疾病的发生；（2）月度考核二次或二次以上低于80分；（3）被政府监管部门查到故意向采购单位销售假冒伪劣商品</w:t>
      </w:r>
      <w:r>
        <w:rPr>
          <w:rFonts w:hint="eastAsia" w:ascii="宋体" w:hAnsi="宋体"/>
          <w:sz w:val="24"/>
          <w:highlight w:val="none"/>
          <w:lang w:eastAsia="zh-CN"/>
        </w:rPr>
        <w:t xml:space="preserve">；</w:t>
      </w:r>
      <w:r>
        <w:rPr>
          <w:rFonts w:hint="eastAsia" w:ascii="宋体" w:hAnsi="宋体" w:cs="宋体"/>
          <w:sz w:val="24"/>
          <w:highlight w:val="none"/>
        </w:rPr>
        <w:t xml:space="preserve">（4）经查实，将部分配送工作分包或转包给他人或其他单位。</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sz w:val="24"/>
          <w:highlight w:val="none"/>
        </w:rPr>
        <w:t xml:space="preserve">4、</w:t>
      </w:r>
      <w:r>
        <w:rPr>
          <w:rFonts w:hint="eastAsia" w:ascii="宋体" w:hAnsi="宋体" w:cs="宋体"/>
          <w:sz w:val="24"/>
          <w:highlight w:val="none"/>
        </w:rPr>
        <w:t xml:space="preserve">因重大责任事故，取消配送资格的供应商，不得继续为采购方提供所有物质的配送，已签订的合同双方协商解除。</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、本项目需配备项目负责人1名</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服务人员不少于3名。</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6、结算方式：</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项目报价要求：以苏州发展和改革委员会官网上公布的最新“苏州市部分农贸市场零售均价”的100%的价格为基准价，按照采购文件中的报价表作规定的让利。合同最终价格不得超过采购预算，若服务期限内结算金额达到采购预算后合同自动终止。</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（2）若实际供货中涉及范围在苏州发展和改革委员会官网公布上未查到，则按照不高于周边市场均价按实结算，报价不高于周边市场均价。</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（3）供货价格一星期一报价(若供货价格无较大变化，可延长报价时间)。</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（4）合同终止条件：服务限满一年或实际已完产值达到合同金额（二者中以先满足条件为准）。</w:t>
      </w:r>
      <w:r>
        <w:rPr>
          <w:highlight w:val="none"/>
        </w:rPr>
      </w:r>
      <w:r/>
    </w:p>
    <w:p>
      <w:pPr>
        <w:pStyle w:val="879"/>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、项目考核要求：</w:t>
      </w:r>
      <w:r>
        <w:rPr>
          <w:highlight w:val="none"/>
        </w:rPr>
      </w:r>
      <w:r/>
    </w:p>
    <w:p>
      <w:pPr>
        <w:pStyle w:val="879"/>
        <w:ind w:firstLine="480"/>
        <w:spacing w:line="360" w:lineRule="auto"/>
        <w:rPr>
          <w:rFonts w:hint="eastAsia" w:ascii="宋体" w:hAnsi="宋体"/>
          <w:sz w:val="24"/>
          <w:highlight w:val="none"/>
        </w:rPr>
      </w:pPr>
      <w:r>
        <w:rPr>
          <w:rFonts w:hint="eastAsia" w:ascii="宋体" w:hAnsi="宋体" w:cs="宋体"/>
          <w:sz w:val="24"/>
          <w:highlight w:val="none"/>
        </w:rPr>
        <w:t xml:space="preserve">本项目需配备项目负责人</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名</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服务人员不少于3名。</w:t>
      </w:r>
      <w:r>
        <w:rPr>
          <w:rFonts w:hint="eastAsia" w:ascii="宋体" w:hAnsi="宋体" w:cs="宋体"/>
          <w:sz w:val="24"/>
          <w:highlight w:val="none"/>
        </w:rPr>
        <w:t xml:space="preserve">甲方每月对乙方服务项目进行考核，具体详见附件《配餐服务月考核表》。</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1、有下列情形之一者采购人应立即终止配送单位的配送工作，并终止与之签订的协议：</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（1）原材料问题引起的食物中毒等食源性疾病的发生；</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（2）月度考核二次或二次以上低于80分；</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（3）被政府监管部门查到故意销售假冒伪劣商品；</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（4）经查实，将部分配送工作分包或转包给他人或其他单位。</w:t>
      </w:r>
      <w:r>
        <w:rPr>
          <w:highlight w:val="none"/>
        </w:rPr>
      </w:r>
      <w:r/>
    </w:p>
    <w:p>
      <w:pPr>
        <w:pStyle w:val="1234"/>
        <w:ind w:firstLine="480"/>
        <w:spacing w:line="360" w:lineRule="auto"/>
        <w:tabs>
          <w:tab w:val="left" w:pos="2700" w:leader="none"/>
        </w:tabs>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2、月度考核得分达</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分及以上，不扣除当月费用</w:t>
      </w:r>
      <w:r>
        <w:rPr>
          <w:rFonts w:hint="eastAsia" w:ascii="宋体" w:hAnsi="宋体" w:eastAsia="宋体" w:cs="宋体"/>
          <w:color w:val="000000"/>
          <w:sz w:val="24"/>
          <w:szCs w:val="24"/>
          <w:highlight w:val="none"/>
          <w:lang w:eastAsia="zh-CN"/>
        </w:rPr>
        <w:t xml:space="preserve">；如总分低于90分（含90分），</w:t>
      </w:r>
      <w:r>
        <w:rPr>
          <w:rFonts w:hint="eastAsia" w:ascii="宋体" w:hAnsi="宋体" w:eastAsia="宋体" w:cs="宋体"/>
          <w:color w:val="000000"/>
          <w:sz w:val="24"/>
          <w:szCs w:val="24"/>
          <w:highlight w:val="none"/>
        </w:rPr>
        <w:t xml:space="preserve">配送公司要做出书面的整改承诺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并按照每下降一分处以500元扣款（违约金），</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有权直接从应付未付款项中扣除。。</w:t>
      </w:r>
      <w:r>
        <w:rPr>
          <w:highlight w:val="none"/>
        </w:rPr>
      </w:r>
      <w:r/>
    </w:p>
    <w:p>
      <w:pPr>
        <w:pStyle w:val="1234"/>
        <w:ind w:firstLine="480"/>
        <w:spacing w:line="360" w:lineRule="auto"/>
        <w:tabs>
          <w:tab w:val="left" w:pos="2700" w:leader="none"/>
        </w:tabs>
        <w:rPr>
          <w:rFonts w:hint="eastAsia"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rPr>
        <w:t xml:space="preserve">（3）为保证企业正常运作，同时巩固作业质量，如月度考核二次或二次以上低于80分；采购方有权终止合同（或协议），成交方需无条件按采购方要求办理移交、退场手续。</w:t>
      </w:r>
      <w:r>
        <w:rPr>
          <w:highlight w:val="none"/>
        </w:rPr>
      </w:r>
      <w:r/>
    </w:p>
    <w:p>
      <w:pPr>
        <w:pStyle w:val="1234"/>
        <w:ind w:firstLine="480"/>
        <w:spacing w:line="360" w:lineRule="auto"/>
        <w:tabs>
          <w:tab w:val="left" w:pos="2700" w:leader="none"/>
        </w:tabs>
        <w:rPr>
          <w:rFonts w:ascii="宋体" w:hAnsi="宋体" w:eastAsia="宋体" w:cs="宋体"/>
          <w:color w:val="000000"/>
          <w:sz w:val="24"/>
          <w:szCs w:val="24"/>
          <w:highlight w:val="none"/>
        </w:rPr>
        <w:framePr w:wrap="auto" w:vAnchor="margin" w:hAnchor="text"/>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、考核标准：后期采购单位有权根据项目实施的实际情况，对此标准进行调整。</w:t>
      </w:r>
      <w:r>
        <w:rPr>
          <w:highlight w:val="none"/>
        </w:rPr>
      </w:r>
      <w:r/>
    </w:p>
    <w:p>
      <w:pPr>
        <w:pStyle w:val="879"/>
        <w:ind w:firstLine="482"/>
        <w:spacing w:line="360" w:lineRule="auto"/>
        <w:rPr>
          <w:rFonts w:ascii="宋体" w:hAnsi="宋体" w:cs="宋体"/>
          <w:b/>
          <w:bCs/>
          <w:sz w:val="24"/>
          <w:highlight w:val="none"/>
          <w:u w:val="single"/>
        </w:rPr>
      </w:pP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权利和义务</w:t>
      </w:r>
      <w:r>
        <w:rPr>
          <w:highlight w:val="none"/>
        </w:rPr>
      </w:r>
      <w:r/>
    </w:p>
    <w:p>
      <w:pPr>
        <w:pStyle w:val="998"/>
        <w:ind w:firstLine="482"/>
        <w:jc w:val="left"/>
        <w:spacing w:line="360" w:lineRule="auto"/>
        <w:tabs>
          <w:tab w:val="left" w:pos="540" w:leader="none"/>
        </w:tabs>
        <w:rPr>
          <w:rFonts w:ascii="宋体" w:hAnsi="宋体" w:cs="宋体"/>
          <w:b/>
          <w:sz w:val="24"/>
          <w:highlight w:val="none"/>
        </w:rPr>
      </w:pPr>
      <w:r>
        <w:rPr>
          <w:rFonts w:hint="eastAsia" w:ascii="宋体" w:hAnsi="宋体" w:cs="宋体"/>
          <w:b/>
          <w:sz w:val="24"/>
          <w:highlight w:val="none"/>
        </w:rPr>
        <w:t xml:space="preserve">（一）甲方权利义务</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（1）合同有效期内，甲方不再从另外渠道进货，因进货渠道不规范而影响正常就餐的，一切后果由甲方承担。</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（2）甲方每周五下午16点前确定下一周的食材项目、数量、质量后将配送计划发至乙方，合同期间如甲方需要乙方应根据自己的专业水平帮助甲方合理搭配菜品，</w:t>
      </w:r>
      <w:r>
        <w:rPr>
          <w:rFonts w:hint="eastAsia" w:ascii="宋体" w:hAnsi="宋体" w:cs="宋体"/>
          <w:sz w:val="24"/>
          <w:highlight w:val="none"/>
          <w:shd w:val="clear" w:color="auto" w:fill="ffffff"/>
        </w:rPr>
        <w:t xml:space="preserve">合理搭配包括粗细搭配、荤素搭配、酸碱搭配、</w:t>
      </w:r>
      <w:r>
        <w:rPr>
          <w:rFonts w:hint="eastAsia" w:ascii="宋体" w:hAnsi="宋体" w:cs="宋体"/>
          <w:bCs/>
          <w:sz w:val="24"/>
          <w:highlight w:val="none"/>
          <w:lang w:bidi="en-US"/>
        </w:rPr>
        <w:t xml:space="preserve">营养均衡</w:t>
      </w:r>
      <w:r>
        <w:rPr>
          <w:rFonts w:hint="eastAsia" w:ascii="宋体" w:hAnsi="宋体" w:cs="宋体"/>
          <w:sz w:val="24"/>
          <w:highlight w:val="none"/>
          <w:shd w:val="clear" w:color="auto" w:fill="ffffff"/>
        </w:rPr>
        <w:t xml:space="preserve">等，</w:t>
      </w:r>
      <w:r>
        <w:rPr>
          <w:rFonts w:hint="eastAsia" w:ascii="宋体" w:hAnsi="宋体" w:cs="宋体"/>
          <w:bCs/>
          <w:sz w:val="24"/>
          <w:highlight w:val="none"/>
          <w:lang w:bidi="en-US"/>
        </w:rPr>
        <w:t xml:space="preserve">食材品牌、规格等要求以甲方食材目录为依据。</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3）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甲方需对食材生菜、熟菜分别留样；若发现乙方违规，应按照合同相关条款处理，并记录备案。</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（4）甲方加强教育宣传工作：食堂工作人员要支持、配合乙方工作，使食堂配送工作有序有效进行。对乙方做到不索要，不为难，不马虎。</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（5）甲方如有需要，可约见乙方，当面商定进一步完善工作的措施，并每月做好对乙方配送工作的考核工作。</w:t>
      </w:r>
      <w:r>
        <w:rPr>
          <w:highlight w:val="none"/>
        </w:rPr>
      </w:r>
      <w:r/>
    </w:p>
    <w:p>
      <w:pPr>
        <w:pStyle w:val="1219"/>
        <w:ind w:firstLine="482"/>
        <w:spacing w:line="360" w:lineRule="auto"/>
        <w:tabs>
          <w:tab w:val="left" w:pos="900" w:leader="none"/>
        </w:tabs>
        <w:rPr>
          <w:rFonts w:ascii="宋体" w:hAnsi="宋体" w:cs="宋体"/>
          <w:b/>
          <w:sz w:val="24"/>
          <w:szCs w:val="24"/>
          <w:highlight w:val="none"/>
        </w:rPr>
      </w:pPr>
      <w:r>
        <w:rPr>
          <w:rFonts w:hint="eastAsia" w:ascii="宋体" w:hAnsi="宋体" w:cs="宋体"/>
          <w:b/>
          <w:sz w:val="24"/>
          <w:szCs w:val="24"/>
          <w:highlight w:val="none"/>
        </w:rPr>
        <w:t xml:space="preserve">（二）乙方权利义务</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（1）乙方必须严格履行投标时的一切承诺。</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（2）乙方承接甲方的食材配送工作，按时保质保量按要求从事配送工作。</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（3）乙方应服从政府相关职能部门的业务指导和监管。</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（4）乙方根据投标书的有关承诺条款，联系配送工作的具体情况，严格执行《中华人民共和国食品安全法》的规定，建立并自觉履行食品卫生安全和食品质量的保障机制，确保安全。</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（5）乙方必须根据协议约定和甲方提出的品种、品牌、规格、数量、质量等要求送货，并在规定的时间内及时送到；每日的配送清单须是打印稿，做到证货同行、证货相符。</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（6）乙方每次配送均需提供配送食材的检测报告、食材检验合格证等合格证明材料。如肉类制品必须是定点屠宰且经检疫合格，蔬菜应有农药残留检测证明等。</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7）乙方向甲方提供食材的品牌、规格、价格必须符合甲方的食材目录。严禁擅自更换食材品牌、规格或者擅自提价。如乙方另有所需食材不在配送食材目录范围内，应先与甲方商定该食材品牌、规格、等地、数量、质量、价格（批发价）、提供实样等事项后，经过相关技术部门认定后再进行配送。</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8）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①无品名、产地、厂名、生产日期、保质期及中文标识及原料说明的定型包装食品；</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②超过保质期限或不符合食品标签规定的定型包装食品；</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③腐败变质、油脂酸败、霉变、生虫、污秽不洁、混有异物或者其它感官性状异常，含有毒、有害物质或者被有毒、有害物质污染，可能对人体健康有害的食品；</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④病死、死因不明或从疫区采购的水产品、畜、禽及其制品，不合格调味品，工业用盐，非碘盐或非食品原料和滥用食品添加剂，农药残留超标蔬菜等；</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⑤其它不符合食品卫生标准和要求的食品。</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⑥每季度进行满意度调查，调查合格率不满60%的。</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bCs/>
          <w:sz w:val="24"/>
          <w:highlight w:val="none"/>
          <w:lang w:bidi="en-US"/>
        </w:rPr>
        <w:t xml:space="preserve">⑦</w:t>
      </w:r>
      <w:r>
        <w:rPr>
          <w:rFonts w:hint="eastAsia" w:ascii="宋体" w:hAnsi="宋体" w:cs="宋体"/>
          <w:sz w:val="24"/>
          <w:highlight w:val="none"/>
        </w:rPr>
        <w:t xml:space="preserve">乙方在接到甲方菜品</w:t>
      </w:r>
      <w:r>
        <w:rPr>
          <w:rFonts w:hint="eastAsia" w:ascii="宋体" w:hAnsi="宋体" w:cs="宋体"/>
          <w:bCs/>
          <w:sz w:val="24"/>
          <w:highlight w:val="none"/>
          <w:lang w:bidi="en-US"/>
        </w:rPr>
        <w:t xml:space="preserve">退货或换货</w:t>
      </w:r>
      <w:r>
        <w:rPr>
          <w:rFonts w:hint="eastAsia" w:ascii="宋体" w:hAnsi="宋体" w:cs="宋体"/>
          <w:sz w:val="24"/>
          <w:highlight w:val="none"/>
        </w:rPr>
        <w:t xml:space="preserve">通知后，没有在1小时响应，3小时内到达现场的。</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sz w:val="24"/>
          <w:highlight w:val="none"/>
        </w:rPr>
        <w:t xml:space="preserve">⑧配送物品退货每月超过5次的。</w:t>
      </w:r>
      <w:r>
        <w:rPr>
          <w:highlight w:val="none"/>
        </w:rPr>
      </w:r>
      <w:r/>
    </w:p>
    <w:p>
      <w:pPr>
        <w:pStyle w:val="879"/>
        <w:spacing w:line="360" w:lineRule="auto"/>
        <w:rPr>
          <w:rFonts w:ascii="宋体" w:hAnsi="宋体" w:cs="宋体"/>
          <w:bCs/>
          <w:sz w:val="24"/>
          <w:highlight w:val="none"/>
        </w:rPr>
      </w:pPr>
      <w:r>
        <w:rPr>
          <w:rFonts w:hint="eastAsia" w:ascii="宋体" w:hAnsi="宋体" w:cs="宋体"/>
          <w:bCs/>
          <w:sz w:val="24"/>
          <w:highlight w:val="none"/>
          <w:lang w:bidi="en-US"/>
        </w:rPr>
        <w:t xml:space="preserve">（9）退出机制。有下列情形之一，将酌情扣除当月货款；情节严重的立即终止乙方的配送工作，并自动终止与之签订的配送协议。同时，甲方将按相关规定追究乙方责任，情节严重的取消配送资格，造成责任事故的将追究其法律责任。</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①乙方配送食品原材料引起的食物中毒等食源性疾病的发生；</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②乙方存在严重安全隐患，经多次督促整改不到位的；</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③经查实，乙方故意向甲方销售假冒伪劣商品； </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④经查实，乙方将部分配送工作分包或转包给他人或其他单位；</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⑤乙方不能按照协议供货要求提供商品，并造成供餐事故的；</w:t>
      </w:r>
      <w:r>
        <w:rPr>
          <w:highlight w:val="none"/>
        </w:rPr>
      </w:r>
      <w:r/>
    </w:p>
    <w:p>
      <w:pPr>
        <w:pStyle w:val="879"/>
        <w:ind w:firstLine="480"/>
        <w:spacing w:line="360" w:lineRule="auto"/>
        <w:rPr>
          <w:rFonts w:ascii="宋体" w:hAnsi="宋体" w:cs="宋体"/>
          <w:bCs/>
          <w:sz w:val="24"/>
          <w:highlight w:val="none"/>
        </w:rPr>
      </w:pPr>
      <w:r>
        <w:rPr>
          <w:rFonts w:hint="eastAsia" w:ascii="宋体" w:hAnsi="宋体" w:cs="宋体"/>
          <w:bCs/>
          <w:sz w:val="24"/>
          <w:highlight w:val="none"/>
          <w:lang w:bidi="en-US"/>
        </w:rPr>
        <w:t xml:space="preserve">⑥经查实，乙方在履行合同期间有行贿犯罪记录的，取消配送资格。</w:t>
      </w:r>
      <w:r>
        <w:rPr>
          <w:highlight w:val="none"/>
        </w:rPr>
      </w:r>
      <w:r/>
    </w:p>
    <w:p>
      <w:pPr>
        <w:pStyle w:val="879"/>
        <w:spacing w:line="360" w:lineRule="auto"/>
        <w:rPr>
          <w:rFonts w:ascii="宋体" w:hAnsi="宋体" w:cs="宋体"/>
          <w:bCs/>
          <w:sz w:val="24"/>
          <w:highlight w:val="none"/>
        </w:rPr>
      </w:pPr>
      <w:r>
        <w:rPr>
          <w:rFonts w:hint="eastAsia" w:ascii="宋体" w:hAnsi="宋体" w:cs="宋体"/>
          <w:bCs/>
          <w:sz w:val="24"/>
          <w:highlight w:val="none"/>
          <w:lang w:bidi="en-US"/>
        </w:rPr>
        <w:t xml:space="preserve">（10）甲乙双方签订合同以后，乙方提出放弃或被取消配送资格的，乙方不得参与下一轮甲方组织的食堂食材供货及配送服务商公开招标采购</w:t>
      </w:r>
      <w:r>
        <w:rPr>
          <w:rFonts w:hint="eastAsia" w:ascii="宋体" w:hAnsi="宋体" w:cs="宋体"/>
          <w:sz w:val="24"/>
          <w:highlight w:val="none"/>
          <w:lang w:bidi="en-US"/>
        </w:rPr>
        <w:t xml:space="preserve">。</w:t>
      </w:r>
      <w:r>
        <w:rPr>
          <w:highlight w:val="none"/>
        </w:rPr>
      </w:r>
      <w:r/>
    </w:p>
    <w:p>
      <w:pPr>
        <w:pStyle w:val="1003"/>
        <w:spacing w:line="360" w:lineRule="auto"/>
        <w:rPr>
          <w:rFonts w:hAnsi="宋体" w:eastAsia="宋体" w:cs="宋体"/>
          <w:b/>
          <w:bCs/>
          <w:sz w:val="24"/>
          <w:highlight w:val="none"/>
        </w:rPr>
      </w:pPr>
      <w:r>
        <w:rPr>
          <w:rFonts w:hint="eastAsia" w:hAnsi="宋体" w:eastAsia="宋体" w:cs="宋体"/>
          <w:bCs/>
          <w:sz w:val="24"/>
          <w:highlight w:val="none"/>
          <w:lang w:bidi="en-US"/>
        </w:rPr>
        <w:t xml:space="preserve">（11）</w:t>
      </w:r>
      <w:r>
        <w:rPr>
          <w:rFonts w:hint="eastAsia" w:hAnsi="宋体" w:eastAsia="宋体" w:cs="宋体"/>
          <w:sz w:val="24"/>
          <w:highlight w:val="none"/>
          <w:lang w:bidi="en-US"/>
        </w:rPr>
        <w:t xml:space="preserve">取消配送资格的供应商，不得继续为</w:t>
      </w:r>
      <w:r>
        <w:rPr>
          <w:rFonts w:hint="eastAsia" w:hAnsi="宋体" w:eastAsia="宋体" w:cs="宋体"/>
          <w:sz w:val="24"/>
          <w:highlight w:val="none"/>
          <w:lang w:eastAsia="zh-CN" w:bidi="en-US"/>
        </w:rPr>
        <w:t xml:space="preserve">采购方</w:t>
      </w:r>
      <w:r>
        <w:rPr>
          <w:rFonts w:hint="eastAsia" w:hAnsi="宋体" w:eastAsia="宋体" w:cs="宋体"/>
          <w:sz w:val="24"/>
          <w:highlight w:val="none"/>
          <w:lang w:bidi="en-US"/>
        </w:rPr>
        <w:t xml:space="preserve">提供所有物质的配送，已签订的合同无效。为避免用餐情况发生中断，则由该采购项目中排名第二顺位的供应商继续提供食堂配送，以保证</w:t>
      </w:r>
      <w:r>
        <w:rPr>
          <w:rFonts w:hint="eastAsia" w:hAnsi="宋体" w:eastAsia="宋体" w:cs="宋体"/>
          <w:sz w:val="24"/>
          <w:highlight w:val="none"/>
          <w:lang w:eastAsia="zh-CN" w:bidi="en-US"/>
        </w:rPr>
        <w:t xml:space="preserve">采购方</w:t>
      </w:r>
      <w:r>
        <w:rPr>
          <w:rFonts w:hint="eastAsia" w:hAnsi="宋体" w:eastAsia="宋体" w:cs="宋体"/>
          <w:sz w:val="24"/>
          <w:highlight w:val="none"/>
          <w:lang w:bidi="en-US"/>
        </w:rPr>
        <w:t xml:space="preserve">正常用餐情况。</w:t>
      </w:r>
      <w:r>
        <w:rPr>
          <w:highlight w:val="none"/>
        </w:rPr>
      </w:r>
      <w:r/>
    </w:p>
    <w:p>
      <w:pPr>
        <w:pStyle w:val="879"/>
        <w:ind w:firstLine="482"/>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、违约责任</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1.合同一方不履行合同义务或者履行合同义务不符合约定的，应当承担继续履行、采取补救措施或者赔偿损失等违约责任。</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2.在合同生效后，甲方无故要求取消此次服务的，应向乙方偿付合同总价款的5%作为违约金，违约金不足以补偿损失的，乙方有权要求甲方补足。</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3.乙方不能正常提供服务（逾期超过十五天视为不能提供）从而影响甲方按期正常使用的，应向甲方偿付违约金，违约金不足以补偿损失的，甲方有权要求乙方补足。同时甲方有权要求乙方承担因此造成的其他损失。</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4.因不可抗力不能履行合同的，根据不可抗力的影响，部分或者全部免除责任。但合同一方迟延履行后发生不可抗力的，不能免除责任。</w:t>
      </w:r>
      <w:r>
        <w:rPr>
          <w:highlight w:val="none"/>
        </w:rPr>
      </w:r>
      <w:r/>
    </w:p>
    <w:p>
      <w:pPr>
        <w:pStyle w:val="879"/>
        <w:ind w:firstLine="480"/>
        <w:spacing w:line="360" w:lineRule="auto"/>
        <w:rPr>
          <w:rFonts w:ascii="宋体" w:hAnsi="宋体" w:cs="宋体"/>
          <w:b/>
          <w:bCs/>
          <w:sz w:val="24"/>
          <w:highlight w:val="none"/>
        </w:rPr>
      </w:pPr>
      <w:r>
        <w:rPr>
          <w:rFonts w:hint="eastAsia" w:ascii="宋体" w:hAnsi="宋体" w:cs="宋体"/>
          <w:sz w:val="24"/>
          <w:highlight w:val="none"/>
        </w:rPr>
        <w:t xml:space="preserve">5.合同一方因不可抗力不能履行合同的，应及时通知对方，以减轻可能给对方造成的损失，并应当在合理期限内提供证明。</w:t>
      </w:r>
      <w:r>
        <w:rPr>
          <w:highlight w:val="none"/>
        </w:rPr>
      </w:r>
      <w:r/>
    </w:p>
    <w:p>
      <w:pPr>
        <w:pStyle w:val="996"/>
        <w:ind w:firstLine="482"/>
        <w:spacing w:line="360" w:lineRule="auto"/>
        <w:rPr>
          <w:rFonts w:ascii="宋体" w:hAnsi="宋体" w:eastAsia="宋体" w:cs="宋体"/>
          <w:b/>
          <w:bCs/>
          <w:szCs w:val="24"/>
          <w:highlight w:val="none"/>
        </w:rPr>
      </w:pPr>
      <w:r>
        <w:rPr>
          <w:rFonts w:hint="eastAsia" w:ascii="宋体" w:hAnsi="宋体" w:eastAsia="宋体" w:cs="宋体"/>
          <w:b/>
          <w:bCs/>
          <w:szCs w:val="24"/>
          <w:highlight w:val="none"/>
          <w:lang w:val="en-US" w:eastAsia="zh-CN"/>
        </w:rPr>
        <w:t xml:space="preserve">八</w:t>
      </w:r>
      <w:r>
        <w:rPr>
          <w:rFonts w:hint="eastAsia" w:ascii="宋体" w:hAnsi="宋体" w:eastAsia="宋体" w:cs="宋体"/>
          <w:b/>
          <w:bCs/>
          <w:szCs w:val="24"/>
          <w:highlight w:val="none"/>
        </w:rPr>
        <w:t xml:space="preserve">、不可抗力</w:t>
      </w:r>
      <w:r>
        <w:rPr>
          <w:highlight w:val="none"/>
        </w:rPr>
      </w:r>
      <w:r/>
    </w:p>
    <w:p>
      <w:pPr>
        <w:pStyle w:val="996"/>
        <w:ind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1、因不可抗力（或甲、乙双方不能控制的原因）不能履行合同的，根据不可抗力的影响，部分或者全部免除责任。但合同一方迟延履行后发生不可抗力的，不能免除责任。</w:t>
      </w:r>
      <w:r>
        <w:rPr>
          <w:highlight w:val="none"/>
        </w:rPr>
      </w:r>
      <w:r/>
    </w:p>
    <w:p>
      <w:pPr>
        <w:pStyle w:val="996"/>
        <w:ind w:firstLine="480"/>
        <w:spacing w:line="360" w:lineRule="auto"/>
        <w:rPr>
          <w:rFonts w:ascii="宋体" w:hAnsi="宋体" w:eastAsia="宋体" w:cs="宋体"/>
          <w:b/>
          <w:szCs w:val="24"/>
          <w:highlight w:val="none"/>
        </w:rPr>
      </w:pPr>
      <w:r>
        <w:rPr>
          <w:rFonts w:hint="eastAsia" w:ascii="宋体" w:hAnsi="宋体" w:eastAsia="宋体" w:cs="宋体"/>
          <w:szCs w:val="24"/>
          <w:highlight w:val="none"/>
        </w:rPr>
        <w:t xml:space="preserve">2、合同一方因不可抗力不能履行合同的，应当及时通知对方，以减轻可能给对方造成的损失，并应当在合理期限内提供证明。</w:t>
      </w:r>
      <w:r>
        <w:rPr>
          <w:highlight w:val="none"/>
        </w:rPr>
      </w:r>
      <w:r/>
    </w:p>
    <w:p>
      <w:pPr>
        <w:pStyle w:val="1219"/>
        <w:ind w:firstLine="482"/>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rPr>
        <w:t xml:space="preserve">、保密条款</w:t>
      </w:r>
      <w:r>
        <w:rPr>
          <w:highlight w:val="none"/>
        </w:rPr>
      </w:r>
      <w:r/>
    </w:p>
    <w:p>
      <w:pPr>
        <w:pStyle w:val="879"/>
        <w:ind w:firstLine="480"/>
        <w:jc w:val="left"/>
        <w:spacing w:line="360" w:lineRule="auto"/>
        <w:rPr>
          <w:rFonts w:ascii="宋体" w:hAnsi="宋体" w:cs="宋体"/>
          <w:sz w:val="24"/>
          <w:highlight w:val="none"/>
        </w:rPr>
      </w:pPr>
      <w:r>
        <w:rPr>
          <w:rFonts w:hint="eastAsia" w:ascii="宋体" w:hAnsi="宋体" w:cs="宋体"/>
          <w:sz w:val="24"/>
          <w:highlight w:val="none"/>
        </w:rPr>
        <w:t xml:space="preserve">1、甲乙双方及其员工因签订或履行本协议而知悉的对方商业信息，包括但不限于有关技术、财务、市场、运营、管理等方面的内容，均视为对方的保密信息，应作为对方的商业秘密。</w:t>
      </w:r>
      <w:r>
        <w:rPr>
          <w:highlight w:val="none"/>
        </w:rPr>
      </w:r>
      <w:r/>
    </w:p>
    <w:p>
      <w:pPr>
        <w:pStyle w:val="879"/>
        <w:ind w:firstLine="480"/>
        <w:jc w:val="left"/>
        <w:spacing w:line="360" w:lineRule="auto"/>
        <w:rPr>
          <w:rFonts w:ascii="宋体" w:hAnsi="宋体" w:cs="宋体"/>
          <w:sz w:val="24"/>
          <w:highlight w:val="none"/>
        </w:rPr>
      </w:pPr>
      <w:r>
        <w:rPr>
          <w:rFonts w:hint="eastAsia" w:ascii="宋体" w:hAnsi="宋体" w:cs="宋体"/>
          <w:sz w:val="24"/>
          <w:highlight w:val="none"/>
        </w:rPr>
        <w:t xml:space="preserve">2、双方承诺对对方的商业信息严格保密，且仅用于本协议。</w:t>
      </w:r>
      <w:r>
        <w:rPr>
          <w:highlight w:val="none"/>
        </w:rPr>
      </w:r>
      <w:r/>
    </w:p>
    <w:p>
      <w:pPr>
        <w:pStyle w:val="879"/>
        <w:ind w:firstLine="480"/>
        <w:spacing w:line="360" w:lineRule="auto"/>
        <w:rPr>
          <w:rFonts w:ascii="宋体" w:hAnsi="宋体" w:cs="宋体"/>
          <w:b/>
          <w:bCs/>
          <w:sz w:val="24"/>
          <w:highlight w:val="none"/>
        </w:rPr>
      </w:pPr>
      <w:r>
        <w:rPr>
          <w:rFonts w:hint="eastAsia" w:ascii="宋体" w:hAnsi="宋体" w:cs="宋体"/>
          <w:sz w:val="24"/>
          <w:highlight w:val="none"/>
        </w:rPr>
        <w:t xml:space="preserve">3、除下列情况外，双方不得使用或允许他人使用保密信息，或向任何第三方披露保密信息：a.经另一方书面同意； b.按照有管辖权的法院，以及相关政府部门的规定或要求。</w:t>
      </w:r>
      <w:r>
        <w:rPr>
          <w:highlight w:val="none"/>
        </w:rPr>
      </w:r>
      <w:r/>
    </w:p>
    <w:p>
      <w:pPr>
        <w:pStyle w:val="879"/>
        <w:numPr>
          <w:ilvl w:val="0"/>
          <w:numId w:val="0"/>
        </w:numPr>
        <w:ind w:firstLine="482"/>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售后服务：</w:t>
      </w:r>
      <w:r>
        <w:rPr>
          <w:highlight w:val="none"/>
        </w:rPr>
      </w:r>
      <w:r/>
    </w:p>
    <w:p>
      <w:pPr>
        <w:pStyle w:val="998"/>
        <w:ind w:firstLine="480"/>
        <w:jc w:val="left"/>
        <w:spacing w:line="360" w:lineRule="auto"/>
        <w:rPr>
          <w:rFonts w:ascii="宋体" w:hAnsi="宋体" w:cs="宋体"/>
          <w:b/>
          <w:bCs/>
          <w:sz w:val="24"/>
          <w:highlight w:val="none"/>
        </w:rPr>
      </w:pPr>
      <w:r>
        <w:rPr>
          <w:rFonts w:hint="eastAsia" w:ascii="宋体" w:hAnsi="宋体" w:cs="宋体"/>
          <w:sz w:val="24"/>
          <w:highlight w:val="none"/>
        </w:rPr>
        <w:t xml:space="preserve">售后服务见乙方投标文件的承诺。</w:t>
      </w:r>
      <w:r>
        <w:rPr>
          <w:highlight w:val="none"/>
        </w:rPr>
      </w:r>
      <w:r/>
    </w:p>
    <w:p>
      <w:pPr>
        <w:pStyle w:val="879"/>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十</w:t>
      </w:r>
      <w:r>
        <w:rPr>
          <w:rFonts w:hint="eastAsia" w:ascii="宋体" w:hAnsi="宋体" w:cs="宋体"/>
          <w:b/>
          <w:bCs/>
          <w:sz w:val="24"/>
          <w:highlight w:val="none"/>
          <w:lang w:val="en-US" w:eastAsia="zh-CN"/>
        </w:rPr>
        <w:t xml:space="preserve">一</w:t>
      </w:r>
      <w:r>
        <w:rPr>
          <w:rFonts w:hint="eastAsia" w:ascii="宋体" w:hAnsi="宋体" w:cs="宋体"/>
          <w:b/>
          <w:bCs/>
          <w:sz w:val="24"/>
          <w:highlight w:val="none"/>
        </w:rPr>
        <w:t xml:space="preserve">、特别条款</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1.双方签约人为各自法定代表人或被授权代表。</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2.本合同系指本文件及其附件中的所有部分；其中招标文件、中标的投标文件、中标单位在采购过程中的澄清、承诺等为本合同不可缺少的必要组成部分。</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sz w:val="24"/>
          <w:highlight w:val="none"/>
        </w:rPr>
        <w:t xml:space="preserve">本合同在甲乙双方法定（授权）代表人签字并加盖公章（或合同章），由代理公司将本合同提交政府采购监督管理部门备案通过后生效</w:t>
      </w:r>
      <w:r>
        <w:rPr>
          <w:rFonts w:hint="eastAsia" w:ascii="宋体" w:hAnsi="宋体" w:cs="宋体"/>
          <w:sz w:val="24"/>
          <w:highlight w:val="none"/>
        </w:rPr>
        <w:t xml:space="preserve">。</w:t>
      </w:r>
      <w:r>
        <w:rPr>
          <w:highlight w:val="none"/>
        </w:rPr>
      </w:r>
      <w:r/>
    </w:p>
    <w:p>
      <w:pPr>
        <w:pStyle w:val="879"/>
        <w:ind w:firstLine="480"/>
        <w:spacing w:line="360" w:lineRule="auto"/>
        <w:rPr>
          <w:rFonts w:ascii="宋体" w:hAnsi="宋体" w:cs="宋体"/>
          <w:b/>
          <w:bCs/>
          <w:sz w:val="24"/>
          <w:highlight w:val="none"/>
        </w:rPr>
      </w:pPr>
      <w:r>
        <w:rPr>
          <w:rFonts w:hint="eastAsia" w:ascii="宋体" w:hAnsi="宋体" w:cs="宋体"/>
          <w:sz w:val="24"/>
          <w:highlight w:val="none"/>
        </w:rPr>
        <w:t xml:space="preserve">4.本合同一式捌份，甲方执肆份，乙方执贰份，招标代理公司及政府采购管理部门各执壹份，各份具有同等法律效力。</w:t>
      </w:r>
      <w:r>
        <w:rPr>
          <w:highlight w:val="none"/>
        </w:rPr>
      </w:r>
      <w:r/>
    </w:p>
    <w:p>
      <w:pPr>
        <w:pStyle w:val="879"/>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十</w:t>
      </w: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、其他</w:t>
      </w:r>
      <w:r>
        <w:rPr>
          <w:highlight w:val="none"/>
        </w:rPr>
      </w:r>
      <w:r/>
    </w:p>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本合同未尽事宜，签约双方应友好协商解决。协商不成，任何一方均可向甲方所在地上一级人民法院提起诉讼。</w:t>
      </w:r>
      <w:r>
        <w:rPr>
          <w:highlight w:val="none"/>
        </w:rPr>
      </w:r>
      <w:r/>
    </w:p>
    <w:p>
      <w:pPr>
        <w:pStyle w:val="879"/>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十三、</w:t>
      </w:r>
      <w:r>
        <w:rPr>
          <w:rFonts w:hint="eastAsia" w:ascii="宋体" w:hAnsi="宋体" w:eastAsia="宋体" w:cs="宋体"/>
          <w:b/>
          <w:bCs/>
          <w:sz w:val="24"/>
          <w:highlight w:val="none"/>
        </w:rPr>
        <w:t xml:space="preserve">合同附件：</w:t>
      </w:r>
      <w:r>
        <w:rPr>
          <w:highlight w:val="none"/>
        </w:rPr>
      </w:r>
      <w:r/>
    </w:p>
    <w:p>
      <w:pPr>
        <w:pStyle w:val="879"/>
        <w:ind w:left="17" w:firstLine="480"/>
        <w:spacing w:line="360" w:lineRule="auto"/>
        <w:rPr>
          <w:rFonts w:hint="eastAsia" w:ascii="宋体" w:hAnsi="宋体"/>
          <w:sz w:val="24"/>
          <w:highlight w:val="none"/>
        </w:rPr>
      </w:pPr>
      <w:r>
        <w:rPr>
          <w:rFonts w:hint="eastAsia" w:ascii="宋体" w:hAnsi="宋体"/>
          <w:sz w:val="24"/>
          <w:highlight w:val="none"/>
        </w:rPr>
        <w:t xml:space="preserve">附件1.配餐服务月考核表</w:t>
      </w:r>
      <w:r>
        <w:rPr>
          <w:highlight w:val="none"/>
        </w:rPr>
      </w:r>
      <w:r/>
    </w:p>
    <w:p>
      <w:pPr>
        <w:pStyle w:val="879"/>
        <w:ind w:left="17" w:firstLine="480"/>
        <w:spacing w:line="360" w:lineRule="auto"/>
        <w:rPr>
          <w:rFonts w:hint="eastAsia" w:ascii="宋体" w:hAnsi="宋体"/>
          <w:sz w:val="24"/>
          <w:highlight w:val="none"/>
        </w:rPr>
      </w:pPr>
      <w:r>
        <w:rPr>
          <w:rFonts w:hint="eastAsia" w:ascii="宋体" w:hAnsi="宋体"/>
          <w:sz w:val="24"/>
          <w:highlight w:val="none"/>
        </w:rPr>
        <w:t xml:space="preserve">附件2.服务类项目履约验收方案</w:t>
      </w:r>
      <w:r>
        <w:rPr>
          <w:highlight w:val="none"/>
        </w:rPr>
      </w:r>
      <w:r/>
    </w:p>
    <w:p>
      <w:pPr>
        <w:pStyle w:val="879"/>
        <w:ind w:left="17" w:firstLine="480"/>
        <w:spacing w:line="360" w:lineRule="auto"/>
        <w:rPr>
          <w:rFonts w:hint="eastAsia" w:ascii="宋体" w:hAnsi="宋体"/>
          <w:sz w:val="24"/>
          <w:highlight w:val="none"/>
        </w:rPr>
      </w:pPr>
      <w:r>
        <w:rPr>
          <w:rFonts w:hint="eastAsia" w:ascii="宋体" w:hAnsi="宋体"/>
          <w:sz w:val="24"/>
          <w:highlight w:val="none"/>
        </w:rPr>
        <w:t xml:space="preserve">附件3.政府采购履约验收书</w:t>
      </w:r>
      <w:r>
        <w:rPr>
          <w:highlight w:val="none"/>
        </w:rPr>
      </w:r>
      <w:r/>
    </w:p>
    <w:p>
      <w:pPr>
        <w:pStyle w:val="918"/>
        <w:ind w:firstLine="0"/>
        <w:rPr>
          <w:rFonts w:hAnsi="宋体" w:cs="宋体"/>
          <w:sz w:val="24"/>
          <w:szCs w:val="24"/>
          <w:highlight w:val="none"/>
        </w:rPr>
      </w:pPr>
      <w:r>
        <w:rPr>
          <w:rFonts w:hAnsi="宋体" w:cs="宋体"/>
          <w:sz w:val="24"/>
          <w:szCs w:val="24"/>
          <w:highlight w:val="none"/>
        </w:rPr>
      </w:r>
      <w:r>
        <w:rPr>
          <w:highlight w:val="none"/>
        </w:rPr>
      </w:r>
      <w:r/>
    </w:p>
    <w:p>
      <w:pPr>
        <w:pStyle w:val="879"/>
        <w:spacing w:line="360" w:lineRule="auto"/>
        <w:rPr>
          <w:rFonts w:hint="eastAsia" w:ascii="Verdana,ˎ̥" w:hAnsi="Verdana,ˎ̥" w:cs="宋体"/>
          <w:sz w:val="24"/>
          <w:highlight w:val="none"/>
        </w:rPr>
      </w:pPr>
      <w:r>
        <w:rPr>
          <w:rFonts w:cs="Arial"/>
          <w:sz w:val="24"/>
          <w:highlight w:val="none"/>
        </w:rPr>
        <w:t xml:space="preserve">（以下无正文）</w:t>
      </w:r>
      <w:r>
        <w:rPr>
          <w:highlight w:val="none"/>
        </w:rPr>
      </w:r>
      <w:r/>
    </w:p>
    <w:tbl>
      <w:tblPr>
        <w:tblW w:w="4999" w:type="pct"/>
        <w:jc w:val="center"/>
        <w:tblInd w:w="-215" w:type="dxa"/>
        <w:tblLayout w:type="autofit"/>
        <w:tblCellMar>
          <w:left w:w="108" w:type="dxa"/>
          <w:top w:w="0" w:type="dxa"/>
          <w:right w:w="108" w:type="dxa"/>
          <w:bottom w:w="0" w:type="dxa"/>
        </w:tblCellMar>
        <w:tblLook w:val="04A0" w:firstRow="1" w:lastRow="0" w:firstColumn="1" w:lastColumn="0" w:noHBand="0" w:noVBand="1"/>
      </w:tblPr>
      <w:tblGrid>
        <w:gridCol w:w="5203"/>
        <w:gridCol w:w="4875"/>
      </w:tblGrid>
      <w:tr>
        <w:trPr>
          <w:trHeight w:val="830"/>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jc w:val="left"/>
              <w:spacing w:line="360" w:lineRule="auto"/>
              <w:rPr>
                <w:rFonts w:ascii="宋体" w:hAnsi="宋体" w:cs="宋体"/>
                <w:sz w:val="24"/>
                <w:highlight w:val="none"/>
              </w:rPr>
            </w:pPr>
            <w:r>
              <w:rPr>
                <w:rFonts w:hint="eastAsia" w:ascii="宋体" w:hAnsi="宋体" w:cs="宋体"/>
                <w:sz w:val="24"/>
                <w:highlight w:val="none"/>
              </w:rPr>
              <w:t xml:space="preserve">采购单位（采购人/发包人）（公章）：</w:t>
            </w:r>
            <w:r>
              <w:rPr>
                <w:highlight w:val="none"/>
              </w:rPr>
            </w:r>
            <w:r/>
          </w:p>
          <w:p>
            <w:pPr>
              <w:pStyle w:val="879"/>
              <w:spacing w:line="360" w:lineRule="auto"/>
              <w:rPr>
                <w:rFonts w:ascii="宋体" w:hAnsi="宋体" w:cs="宋体"/>
                <w:sz w:val="24"/>
                <w:highlight w:val="none"/>
              </w:rPr>
            </w:pPr>
            <w:r>
              <w:rPr>
                <w:rFonts w:ascii="宋体" w:hAnsi="宋体" w:cs="宋体"/>
                <w:sz w:val="24"/>
                <w:highlight w:val="none"/>
              </w:rPr>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供应商（服务单位）（公章）：</w:t>
            </w:r>
            <w:r>
              <w:rPr>
                <w:highlight w:val="none"/>
              </w:rPr>
            </w:r>
            <w:r/>
          </w:p>
          <w:p>
            <w:pPr>
              <w:pStyle w:val="879"/>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730"/>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住所：</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住所：</w:t>
            </w:r>
            <w:r>
              <w:rPr>
                <w:highlight w:val="none"/>
              </w:rPr>
            </w:r>
            <w:r/>
          </w:p>
        </w:tc>
      </w:tr>
      <w:tr>
        <w:trPr>
          <w:trHeight w:val="57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法定代表人（签章）：</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法定代表人（签章）：</w:t>
            </w:r>
            <w:r>
              <w:rPr>
                <w:highlight w:val="none"/>
              </w:rPr>
            </w:r>
            <w:r/>
          </w:p>
        </w:tc>
      </w:tr>
      <w:tr>
        <w:trPr>
          <w:trHeight w:val="57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委托代理人（签字）：</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委托代理人（签字）：</w:t>
            </w:r>
            <w:r>
              <w:rPr>
                <w:highlight w:val="none"/>
              </w:rPr>
            </w:r>
            <w:r/>
          </w:p>
        </w:tc>
      </w:tr>
      <w:tr>
        <w:trP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电话：</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电话：</w:t>
            </w:r>
            <w:r>
              <w:rPr>
                <w:highlight w:val="none"/>
              </w:rPr>
            </w:r>
            <w:r/>
          </w:p>
        </w:tc>
      </w:tr>
      <w:tr>
        <w:trP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传真：</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传真：</w:t>
            </w:r>
            <w:r>
              <w:rPr>
                <w:highlight w:val="none"/>
              </w:rPr>
            </w:r>
            <w:r/>
          </w:p>
        </w:tc>
      </w:tr>
      <w:tr>
        <w:trP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开户银行：</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开户银行：</w:t>
            </w:r>
            <w:r>
              <w:rPr>
                <w:highlight w:val="none"/>
              </w:rPr>
            </w:r>
            <w:r/>
          </w:p>
        </w:tc>
      </w:tr>
      <w:tr>
        <w:trP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银行账号：</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银行账号：</w:t>
            </w:r>
            <w:r>
              <w:rPr>
                <w:highlight w:val="none"/>
              </w:rPr>
            </w:r>
            <w:r/>
          </w:p>
        </w:tc>
      </w:tr>
      <w:tr>
        <w:trPr>
          <w:trHeight w:val="551"/>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数币账号</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hint="eastAsia" w:ascii="宋体" w:hAnsi="宋体" w:cs="宋体"/>
                <w:sz w:val="24"/>
                <w:highlight w:val="none"/>
              </w:rPr>
            </w:pPr>
            <w:r>
              <w:rPr>
                <w:rFonts w:hint="eastAsia" w:ascii="宋体" w:hAnsi="宋体" w:cs="宋体"/>
                <w:sz w:val="24"/>
                <w:highlight w:val="none"/>
              </w:rPr>
              <w:t xml:space="preserve">数币账号</w:t>
            </w:r>
            <w:r>
              <w:rPr>
                <w:highlight w:val="none"/>
              </w:rPr>
            </w:r>
            <w:r/>
          </w:p>
        </w:tc>
      </w:tr>
      <w:tr>
        <w:trPr/>
        <w:tc>
          <w:tcPr>
            <w:tcBorders>
              <w:top w:val="none" w:color="000000" w:sz="4" w:space="0"/>
              <w:left w:val="none" w:color="000000" w:sz="4" w:space="0"/>
              <w:bottom w:val="none" w:color="000000" w:sz="4" w:space="0"/>
              <w:right w:val="none" w:color="000000" w:sz="4" w:space="0"/>
            </w:tcBorders>
            <w:tcW w:w="2581"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签订日期：</w:t>
            </w:r>
            <w:r>
              <w:rPr>
                <w:highlight w:val="none"/>
              </w:rPr>
            </w:r>
            <w:r/>
          </w:p>
        </w:tc>
        <w:tc>
          <w:tcPr>
            <w:tcBorders>
              <w:top w:val="none" w:color="000000" w:sz="4" w:space="0"/>
              <w:left w:val="none" w:color="000000" w:sz="4" w:space="0"/>
              <w:bottom w:val="none" w:color="000000" w:sz="4" w:space="0"/>
              <w:right w:val="none" w:color="000000" w:sz="4" w:space="0"/>
            </w:tcBorders>
            <w:tcW w:w="2418" w:type="dxa"/>
            <w:vAlign w:val="top"/>
            <w:textDirection w:val="lrTb"/>
            <w:noWrap w:val="false"/>
          </w:tcPr>
          <w:p>
            <w:pPr>
              <w:pStyle w:val="879"/>
              <w:spacing w:line="360" w:lineRule="auto"/>
              <w:rPr>
                <w:rFonts w:ascii="宋体" w:hAnsi="宋体" w:cs="宋体"/>
                <w:sz w:val="24"/>
                <w:highlight w:val="none"/>
              </w:rPr>
            </w:pPr>
            <w:r>
              <w:rPr>
                <w:rFonts w:hint="eastAsia" w:ascii="宋体" w:hAnsi="宋体" w:cs="宋体"/>
                <w:sz w:val="24"/>
                <w:highlight w:val="none"/>
              </w:rPr>
              <w:t xml:space="preserve">签订日期：</w:t>
            </w:r>
            <w:r>
              <w:rPr>
                <w:highlight w:val="none"/>
              </w:rPr>
            </w:r>
            <w:r/>
          </w:p>
        </w:tc>
      </w:tr>
    </w:tbl>
    <w:p>
      <w:pPr>
        <w:pStyle w:val="879"/>
        <w:ind w:firstLine="480"/>
        <w:jc w:val="left"/>
        <w:spacing w:line="360" w:lineRule="auto"/>
        <w:rPr>
          <w:rFonts w:hint="eastAsia" w:ascii="宋体" w:hAnsi="宋体"/>
          <w:sz w:val="24"/>
          <w:highlight w:val="none"/>
        </w:rPr>
      </w:pPr>
      <w:r>
        <w:rPr>
          <w:rFonts w:ascii="宋体" w:hAnsi="宋体"/>
          <w:b/>
          <w:sz w:val="30"/>
          <w:szCs w:val="30"/>
          <w:highlight w:val="none"/>
        </w:rPr>
        <w:br w:type="page" w:clear="all"/>
      </w:r>
      <w:bookmarkStart w:id="16" w:name="_Toc474491767"/>
      <w:r>
        <w:rPr>
          <w:highlight w:val="none"/>
        </w:rPr>
      </w:r>
      <w:r/>
    </w:p>
    <w:p>
      <w:pPr>
        <w:pStyle w:val="879"/>
        <w:spacing w:line="360" w:lineRule="auto"/>
        <w:widowControl/>
        <w:rPr>
          <w:rFonts w:ascii="宋体" w:hAnsi="宋体" w:cs="宋体"/>
          <w:b/>
          <w:bCs/>
          <w:sz w:val="24"/>
          <w:highlight w:val="none"/>
        </w:rPr>
      </w:pPr>
      <w:r>
        <w:rPr>
          <w:rFonts w:hint="eastAsia" w:ascii="宋体" w:hAnsi="宋体" w:cs="宋体"/>
          <w:b/>
          <w:bCs/>
          <w:sz w:val="24"/>
          <w:highlight w:val="none"/>
        </w:rPr>
        <w:t xml:space="preserve">附件</w:t>
      </w:r>
      <w:r>
        <w:rPr>
          <w:rFonts w:hint="eastAsia" w:ascii="宋体" w:hAnsi="宋体" w:cs="宋体"/>
          <w:b/>
          <w:bCs/>
          <w:sz w:val="24"/>
          <w:highlight w:val="none"/>
          <w:lang w:val="en-US" w:eastAsia="zh-CN"/>
        </w:rPr>
        <w:t xml:space="preserve">1</w:t>
      </w:r>
      <w:r>
        <w:rPr>
          <w:rFonts w:hint="eastAsia" w:ascii="宋体" w:hAnsi="宋体" w:cs="宋体"/>
          <w:b/>
          <w:bCs/>
          <w:sz w:val="24"/>
          <w:highlight w:val="none"/>
        </w:rPr>
        <w:t xml:space="preserve">：配餐服务月考核表</w:t>
      </w:r>
      <w:r>
        <w:rPr>
          <w:highlight w:val="none"/>
        </w:rPr>
      </w:r>
      <w:r/>
    </w:p>
    <w:p>
      <w:pPr>
        <w:pStyle w:val="879"/>
        <w:jc w:val="left"/>
        <w:spacing w:line="360" w:lineRule="auto"/>
        <w:rPr>
          <w:rFonts w:ascii="宋体" w:hAnsi="宋体" w:cs="宋体"/>
          <w:sz w:val="24"/>
          <w:highlight w:val="none"/>
        </w:rPr>
      </w:pPr>
      <w:r>
        <w:rPr>
          <w:rFonts w:hint="eastAsia" w:ascii="宋体" w:hAnsi="宋体" w:cs="宋体"/>
          <w:sz w:val="24"/>
          <w:highlight w:val="none"/>
        </w:rPr>
        <w:t xml:space="preserve">被考核单位：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日期：   年   月   日</w:t>
      </w:r>
      <w:r>
        <w:rPr>
          <w:highlight w:val="none"/>
        </w:rPr>
      </w:r>
      <w:r/>
    </w:p>
    <w:tbl>
      <w:tblPr>
        <w:tblW w:w="4998"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660"/>
        <w:gridCol w:w="878"/>
        <w:gridCol w:w="2475"/>
        <w:gridCol w:w="5059"/>
      </w:tblGrid>
      <w:tr>
        <w:trPr>
          <w:trHeight w:val="531"/>
        </w:trPr>
        <w:tc>
          <w:tcPr>
            <w:tcW w:w="466"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一级</w:t>
            </w:r>
            <w:r>
              <w:rPr>
                <w:highlight w:val="none"/>
              </w:rPr>
            </w:r>
            <w:r/>
          </w:p>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指标</w:t>
            </w:r>
            <w:r>
              <w:rPr>
                <w:highlight w:val="none"/>
              </w:rPr>
            </w:r>
            <w:r/>
          </w:p>
        </w:tc>
        <w:tc>
          <w:tcPr>
            <w:tcW w:w="324"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分值</w:t>
            </w:r>
            <w:r>
              <w:rPr>
                <w:highlight w:val="none"/>
              </w:rPr>
            </w:r>
            <w:r/>
          </w:p>
        </w:tc>
        <w:tc>
          <w:tcPr>
            <w:tcW w:w="567"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二级</w:t>
            </w:r>
            <w:r>
              <w:rPr>
                <w:highlight w:val="none"/>
              </w:rPr>
            </w:r>
            <w:r/>
          </w:p>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指标</w:t>
            </w:r>
            <w:r>
              <w:rPr>
                <w:highlight w:val="none"/>
              </w:rPr>
            </w:r>
            <w:r/>
          </w:p>
        </w:tc>
        <w:tc>
          <w:tcPr>
            <w:tcW w:w="375"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分值</w:t>
            </w:r>
            <w:r>
              <w:rPr>
                <w:highlight w:val="none"/>
              </w:rPr>
            </w:r>
            <w:r/>
          </w:p>
        </w:tc>
        <w:tc>
          <w:tcPr>
            <w:tcW w:w="3266"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考核要素和评估内容及其标准</w:t>
            </w:r>
            <w:r>
              <w:rPr>
                <w:highlight w:val="none"/>
              </w:rPr>
            </w:r>
            <w:r/>
          </w:p>
        </w:tc>
      </w:tr>
      <w:tr>
        <w:trPr>
          <w:trHeight w:val="584"/>
        </w:trPr>
        <w:tc>
          <w:tcPr>
            <w:tcW w:w="466" w:type="dxa"/>
            <w:vAlign w:val="center"/>
            <w:vMerge w:val="restart"/>
            <w:textDirection w:val="tbRlV"/>
            <w:noWrap w:val="false"/>
          </w:tcPr>
          <w:p>
            <w:pPr>
              <w:pStyle w:val="879"/>
              <w:ind w:left="113" w:righ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设备设施</w:t>
            </w:r>
            <w:r>
              <w:rPr>
                <w:highlight w:val="none"/>
              </w:rPr>
            </w:r>
            <w:r/>
          </w:p>
        </w:tc>
        <w:tc>
          <w:tcPr>
            <w:tcW w:w="324"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场地与功能</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食材配送占地和建筑面积适中，布局合理，设备设施配套功能齐全且整洁2分如有缩小面积、擅自改变其功能等与配送无关联的变更现象，该项不得分。</w:t>
            </w:r>
            <w:r>
              <w:rPr>
                <w:highlight w:val="none"/>
              </w:rPr>
            </w:r>
            <w:r/>
          </w:p>
        </w:tc>
      </w:tr>
      <w:tr>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运输工具</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送货均使用专用冷藏车2分（5-10月须开启冷藏设备，其余时间视气温情况而定），未用冷藏车或该开启冷藏设备而未开启冷藏设备发现一次扣1分，扣完为止。</w:t>
            </w:r>
            <w:r>
              <w:rPr>
                <w:highlight w:val="none"/>
              </w:rPr>
            </w:r>
            <w:r/>
          </w:p>
        </w:tc>
      </w:tr>
      <w:tr>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冷库</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科学、规范控制冷库温度，冷库堆放有序1分，如实填写进出库资料1分（根据实情酌情扣分）。</w:t>
            </w:r>
            <w:r>
              <w:rPr>
                <w:highlight w:val="none"/>
              </w:rPr>
            </w:r>
            <w:r/>
          </w:p>
        </w:tc>
      </w:tr>
      <w:tr>
        <w:trPr>
          <w:trHeight w:val="641"/>
        </w:trPr>
        <w:tc>
          <w:tcPr>
            <w:tcW w:w="466" w:type="dxa"/>
            <w:vAlign w:val="center"/>
            <w:vMerge w:val="restart"/>
            <w:textDirection w:val="tbRlV"/>
            <w:noWrap w:val="false"/>
          </w:tcPr>
          <w:p>
            <w:pPr>
              <w:pStyle w:val="879"/>
              <w:ind w:left="113" w:righ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流程管理</w:t>
            </w:r>
            <w:r>
              <w:rPr>
                <w:highlight w:val="none"/>
              </w:rPr>
            </w:r>
            <w:r/>
          </w:p>
        </w:tc>
        <w:tc>
          <w:tcPr>
            <w:tcW w:w="324"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30分</w:t>
            </w:r>
            <w:r>
              <w:rPr>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准时送货</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9分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送货准时，每天所需食材一并送达（水产除外）9分（非不可抗拒情况下延误一次扣3分，以此类推，扣完为止。</w:t>
            </w:r>
            <w:r>
              <w:rPr>
                <w:highlight w:val="none"/>
              </w:rPr>
            </w:r>
            <w:r/>
          </w:p>
        </w:tc>
      </w:tr>
      <w:tr>
        <w:trPr>
          <w:trHeight w:val="570"/>
        </w:trPr>
        <w:tc>
          <w:tcPr>
            <w:tcW w:w="466" w:type="dxa"/>
            <w:vAlign w:val="center"/>
            <w:vMerge w:val="continue"/>
            <w:textDirection w:val="tbRlV"/>
            <w:noWrap w:val="false"/>
          </w:tcPr>
          <w:p>
            <w:pPr>
              <w:pStyle w:val="879"/>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足斤足两</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9分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送货无短斤缺两现象9分（份量短缺达到该类食材配送总量5%以上，有一次扣3分，以此类推，扣完为止）。</w:t>
            </w:r>
            <w:r>
              <w:rPr>
                <w:highlight w:val="none"/>
              </w:rPr>
            </w:r>
            <w:r/>
          </w:p>
        </w:tc>
      </w:tr>
      <w:tr>
        <w:trPr>
          <w:trHeight w:val="613"/>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服务态度</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工作人员工作认真，服务热情周到，运送搬装文明4分（运送人员野蛮运装或无正当理由与食堂人员争执，一次扣2分，扣完为止）。</w:t>
            </w:r>
            <w:r>
              <w:rPr>
                <w:highlight w:val="none"/>
              </w:rPr>
            </w:r>
            <w:r/>
          </w:p>
        </w:tc>
      </w:tr>
      <w:tr>
        <w:trPr>
          <w:trHeight w:val="419"/>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工作细致</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配送物品清单与实际配送无差错6分（误差一次扣3分，以此类推，扣完为止）。</w:t>
            </w:r>
            <w:r>
              <w:rPr>
                <w:highlight w:val="none"/>
              </w:rPr>
            </w:r>
            <w:r/>
          </w:p>
        </w:tc>
      </w:tr>
      <w:tr>
        <w:trPr>
          <w:trHeight w:val="417"/>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单据清晰</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送货单（结算凭证）项目齐全，机器打印清晰2分，否则不得分。</w:t>
            </w:r>
            <w:r>
              <w:rPr>
                <w:highlight w:val="none"/>
              </w:rPr>
            </w:r>
            <w:r/>
          </w:p>
        </w:tc>
      </w:tr>
      <w:tr>
        <w:trPr>
          <w:trHeight w:val="1124"/>
        </w:trPr>
        <w:tc>
          <w:tcPr>
            <w:tcW w:w="466" w:type="dxa"/>
            <w:vAlign w:val="center"/>
            <w:textDirection w:val="lrTb"/>
            <w:noWrap w:val="false"/>
          </w:tcPr>
          <w:p>
            <w:pPr>
              <w:pStyle w:val="879"/>
              <w:ind w:lef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质量管理</w:t>
            </w:r>
            <w:r>
              <w:rPr>
                <w:highlight w:val="none"/>
              </w:rPr>
            </w:r>
            <w:r/>
          </w:p>
        </w:tc>
        <w:tc>
          <w:tcPr>
            <w:tcW w:w="324"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40分</w:t>
            </w:r>
            <w:r>
              <w:rPr>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食材每日</w:t>
            </w:r>
            <w:r>
              <w:rPr>
                <w:highlight w:val="none"/>
              </w:rPr>
            </w:r>
            <w:r/>
          </w:p>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评分</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40分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每天对配送单位提供的食材质量进行验收40分（验收时按各类食材验收标准打分，验收标准见合同）。</w:t>
            </w:r>
            <w:r>
              <w:rPr>
                <w:highlight w:val="none"/>
              </w:rPr>
            </w:r>
            <w:r/>
          </w:p>
        </w:tc>
      </w:tr>
      <w:tr>
        <w:trPr>
          <w:trHeight w:val="662"/>
        </w:trPr>
        <w:tc>
          <w:tcPr>
            <w:tcW w:w="466" w:type="dxa"/>
            <w:vAlign w:val="center"/>
            <w:vMerge w:val="restart"/>
            <w:textDirection w:val="tbRlV"/>
            <w:noWrap w:val="false"/>
          </w:tcPr>
          <w:p>
            <w:pPr>
              <w:pStyle w:val="879"/>
              <w:ind w:left="113" w:right="113"/>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科学管理</w:t>
            </w:r>
            <w:r>
              <w:rPr>
                <w:highlight w:val="none"/>
              </w:rPr>
            </w:r>
            <w:r/>
          </w:p>
        </w:tc>
        <w:tc>
          <w:tcPr>
            <w:tcW w:w="324" w:type="dxa"/>
            <w:vAlign w:val="center"/>
            <w:vMerge w:val="restart"/>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24分</w:t>
            </w:r>
            <w:r>
              <w:rPr>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诚信经营</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不得将部分商品或部分</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的供应权限转让或分包给他人经营6分（如有违反不得分，并考虑取消配送资格）。</w:t>
            </w:r>
            <w:r>
              <w:rPr>
                <w:highlight w:val="none"/>
              </w:rPr>
            </w:r>
            <w:r/>
          </w:p>
        </w:tc>
      </w:tr>
      <w:tr>
        <w:trPr>
          <w:trHeight w:val="835"/>
        </w:trPr>
        <w:tc>
          <w:tcPr>
            <w:tcW w:w="466" w:type="dxa"/>
            <w:vAlign w:val="center"/>
            <w:vMerge w:val="continue"/>
            <w:textDirection w:val="tbRlV"/>
            <w:noWrap w:val="false"/>
          </w:tcPr>
          <w:p>
            <w:pPr>
              <w:pStyle w:val="879"/>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结算精准</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对</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：送货单上单价、月底结算价格符合招标文件精神，结算账目清晰准确，价格合理。对上家供应商：每月结清，不拖欠（结算不及时或延时付款，该项目不得分）。</w:t>
            </w:r>
            <w:r>
              <w:rPr>
                <w:highlight w:val="none"/>
              </w:rPr>
            </w:r>
            <w:r/>
          </w:p>
        </w:tc>
      </w:tr>
      <w:tr>
        <w:trPr>
          <w:trHeight w:val="542"/>
        </w:trPr>
        <w:tc>
          <w:tcPr>
            <w:tcW w:w="466" w:type="dxa"/>
            <w:vAlign w:val="center"/>
            <w:vMerge w:val="continue"/>
            <w:textDirection w:val="tbRlV"/>
            <w:noWrap w:val="false"/>
          </w:tcPr>
          <w:p>
            <w:pPr>
              <w:pStyle w:val="879"/>
              <w:ind w:left="113" w:right="113"/>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留样制度</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6分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每天做好蔬菜农药残留检测，并作记录。规范做好留样工作。（记录缺失扣3分，留样不规范扣3分）。</w:t>
            </w:r>
            <w:r>
              <w:rPr>
                <w:highlight w:val="none"/>
              </w:rPr>
            </w:r>
            <w:r/>
          </w:p>
        </w:tc>
      </w:tr>
      <w:tr>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安全清洁</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操作场所、仓库、运输工具、贮物筐箱等保持清洁卫生，坚持每天清洁工作，按规定定期消毒并做好记载，仓库内无过期物品，有单独的专供仓库3分（抽查到不符要求的每次扣1分，以此类推，扣完为止）。</w:t>
            </w:r>
            <w:r>
              <w:rPr>
                <w:highlight w:val="none"/>
              </w:rPr>
            </w:r>
            <w:r/>
          </w:p>
        </w:tc>
      </w:tr>
      <w:tr>
        <w:trPr>
          <w:trHeight w:val="810"/>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联系制度</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3分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如网上没有</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所需商品名录，事先与</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联系并谈妥商品的品牌、品级、规格、价格等事项，然后发货3分。（配送单位单方定价后再送货不得分）。</w:t>
            </w:r>
            <w:r>
              <w:rPr>
                <w:highlight w:val="none"/>
              </w:rPr>
            </w:r>
            <w:r/>
          </w:p>
        </w:tc>
      </w:tr>
      <w:tr>
        <w:trPr>
          <w:trHeight w:val="570"/>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及时整改</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对</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的意见、建议虚心接受，运作过程中出现的新情况新问题及时主动沟通、协调有效果，及时整改见实效2分（整改效果不明显扣1分，未见整改效果不得分）。</w:t>
            </w:r>
            <w:r>
              <w:rPr>
                <w:highlight w:val="none"/>
              </w:rPr>
            </w:r>
            <w:r/>
          </w:p>
        </w:tc>
      </w:tr>
      <w:tr>
        <w:trPr/>
        <w:tc>
          <w:tcPr>
            <w:tcW w:w="466"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324" w:type="dxa"/>
            <w:vAlign w:val="center"/>
            <w:vMerge w:val="continue"/>
            <w:textDirection w:val="lrTb"/>
            <w:noWrap w:val="false"/>
          </w:tcPr>
          <w:p>
            <w:pPr>
              <w:pStyle w:val="879"/>
              <w:jc w:val="center"/>
              <w:spacing w:line="360" w:lineRule="auto"/>
              <w:rPr>
                <w:rFonts w:ascii="宋体" w:hAnsi="宋体" w:cs="宋体"/>
                <w:sz w:val="21"/>
                <w:szCs w:val="21"/>
                <w:highlight w:val="none"/>
              </w:rPr>
            </w:pPr>
            <w:r>
              <w:rPr>
                <w:rFonts w:ascii="宋体" w:hAnsi="宋体" w:cs="宋体"/>
                <w:sz w:val="21"/>
                <w:szCs w:val="21"/>
                <w:highlight w:val="none"/>
              </w:rPr>
            </w:r>
            <w:r/>
          </w:p>
        </w:tc>
        <w:tc>
          <w:tcPr>
            <w:tcW w:w="56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协调沟通</w:t>
            </w:r>
            <w:r>
              <w:rPr>
                <w:highlight w:val="none"/>
              </w:rPr>
            </w:r>
            <w:r/>
          </w:p>
        </w:tc>
        <w:tc>
          <w:tcPr>
            <w:tcW w:w="375"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2分</w:t>
            </w:r>
            <w:r>
              <w:rPr>
                <w:highlight w:val="none"/>
              </w:rPr>
            </w:r>
            <w:r/>
          </w:p>
        </w:tc>
        <w:tc>
          <w:tcPr>
            <w:tcW w:w="3266" w:type="dxa"/>
            <w:vAlign w:val="center"/>
            <w:textDirection w:val="lrTb"/>
            <w:noWrap w:val="false"/>
          </w:tcPr>
          <w:p>
            <w:pPr>
              <w:pStyle w:val="879"/>
              <w:spacing w:line="360" w:lineRule="auto"/>
              <w:rPr>
                <w:rFonts w:ascii="宋体" w:hAnsi="宋体" w:cs="宋体"/>
                <w:sz w:val="21"/>
                <w:szCs w:val="21"/>
                <w:highlight w:val="none"/>
              </w:rPr>
            </w:pPr>
            <w:r>
              <w:rPr>
                <w:rFonts w:hint="eastAsia" w:ascii="宋体" w:hAnsi="宋体" w:cs="宋体"/>
                <w:sz w:val="21"/>
                <w:szCs w:val="21"/>
                <w:highlight w:val="none"/>
              </w:rPr>
              <w:t xml:space="preserve">每个月的月底，主动向</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书面报告工作情况（主要内容为：</w:t>
            </w:r>
            <w:r>
              <w:rPr>
                <w:rFonts w:hint="eastAsia" w:ascii="宋体" w:hAnsi="宋体" w:cs="宋体"/>
                <w:sz w:val="21"/>
                <w:szCs w:val="21"/>
                <w:highlight w:val="none"/>
                <w:lang w:eastAsia="zh-CN"/>
              </w:rPr>
              <w:t xml:space="preserve">采购方</w:t>
            </w:r>
            <w:r>
              <w:rPr>
                <w:rFonts w:hint="eastAsia" w:ascii="宋体" w:hAnsi="宋体" w:cs="宋体"/>
                <w:sz w:val="21"/>
                <w:szCs w:val="21"/>
                <w:highlight w:val="none"/>
              </w:rPr>
              <w:t xml:space="preserve">、上家供应商运作情况，工作上不和谐之事之因之果，以及意见或建议）得2分；不按时交不得分。</w:t>
            </w:r>
            <w:r>
              <w:rPr>
                <w:highlight w:val="none"/>
              </w:rPr>
            </w:r>
            <w:r/>
          </w:p>
        </w:tc>
      </w:tr>
      <w:tr>
        <w:trPr>
          <w:trHeight w:val="509"/>
        </w:trPr>
        <w:tc>
          <w:tcPr>
            <w:gridSpan w:val="4"/>
            <w:tcW w:w="5017" w:type="dxa"/>
            <w:vAlign w:val="center"/>
            <w:textDirection w:val="lrTb"/>
            <w:noWrap w:val="false"/>
          </w:tcPr>
          <w:p>
            <w:pPr>
              <w:pStyle w:val="879"/>
              <w:jc w:val="center"/>
              <w:spacing w:line="360" w:lineRule="auto"/>
              <w:rPr>
                <w:rFonts w:ascii="宋体" w:hAnsi="宋体" w:cs="宋体"/>
                <w:sz w:val="21"/>
                <w:szCs w:val="21"/>
                <w:highlight w:val="none"/>
              </w:rPr>
            </w:pPr>
            <w:r>
              <w:rPr>
                <w:rFonts w:hint="eastAsia" w:ascii="宋体" w:hAnsi="宋体" w:cs="宋体"/>
                <w:sz w:val="21"/>
                <w:szCs w:val="21"/>
                <w:highlight w:val="none"/>
              </w:rPr>
              <w:t xml:space="preserve">总      分</w:t>
            </w:r>
            <w:r>
              <w:rPr>
                <w:highlight w:val="none"/>
              </w:rPr>
            </w:r>
            <w:r/>
          </w:p>
        </w:tc>
        <w:tc>
          <w:tcPr>
            <w:tcW w:w="3266" w:type="dxa"/>
            <w:vAlign w:val="top"/>
            <w:textDirection w:val="lrTb"/>
            <w:noWrap w:val="false"/>
          </w:tcPr>
          <w:p>
            <w:pPr>
              <w:pStyle w:val="879"/>
              <w:spacing w:line="360" w:lineRule="auto"/>
              <w:rPr>
                <w:rFonts w:ascii="宋体" w:hAnsi="宋体" w:cs="宋体"/>
                <w:sz w:val="21"/>
                <w:szCs w:val="21"/>
                <w:highlight w:val="none"/>
              </w:rPr>
            </w:pPr>
            <w:r>
              <w:rPr>
                <w:rFonts w:ascii="宋体" w:hAnsi="宋体" w:cs="宋体"/>
                <w:sz w:val="21"/>
                <w:szCs w:val="21"/>
                <w:highlight w:val="none"/>
              </w:rPr>
            </w:r>
            <w:r>
              <w:rPr>
                <w:highlight w:val="none"/>
              </w:rPr>
            </w:r>
            <w:r/>
          </w:p>
        </w:tc>
      </w:tr>
      <w:tr>
        <w:trPr>
          <w:trHeight w:val="509"/>
        </w:trPr>
        <w:tc>
          <w:tcPr>
            <w:gridSpan w:val="4"/>
            <w:tcW w:w="5017" w:type="dxa"/>
            <w:vAlign w:val="center"/>
            <w:textDirection w:val="lrTb"/>
            <w:noWrap w:val="false"/>
          </w:tcPr>
          <w:p>
            <w:pPr>
              <w:pStyle w:val="879"/>
              <w:jc w:val="center"/>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说明</w:t>
            </w:r>
            <w:r>
              <w:rPr>
                <w:highlight w:val="none"/>
              </w:rPr>
            </w:r>
            <w:r/>
          </w:p>
        </w:tc>
        <w:tc>
          <w:tcPr>
            <w:tcW w:w="3266" w:type="dxa"/>
            <w:vAlign w:val="center"/>
            <w:textDirection w:val="lrTb"/>
            <w:noWrap w:val="false"/>
          </w:tcPr>
          <w:p>
            <w:pPr>
              <w:pStyle w:val="879"/>
              <w:spacing w:line="360" w:lineRule="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月度考核得分达90分及以上，不扣除当月费用；如总分低于90分（含90分），配送公司要做出书面的整改承诺，并按照每下降一分处以500元扣款（违约金），采购方有权直接从应付未付款项中扣除。。</w:t>
            </w:r>
            <w:r>
              <w:rPr>
                <w:highlight w:val="none"/>
              </w:rPr>
            </w:r>
            <w:r/>
          </w:p>
          <w:p>
            <w:pPr>
              <w:pStyle w:val="879"/>
              <w:spacing w:line="360" w:lineRule="auto"/>
              <w:rPr>
                <w:rFonts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为保证企业正常运作，同时巩固作业质量，如月度考核二次或二次以上低于80分；采购方有权终止合同（或协议），成交方需无条件按采购方要求办理移交、退场手续。</w:t>
            </w:r>
            <w:r>
              <w:rPr>
                <w:highlight w:val="none"/>
              </w:rPr>
            </w:r>
            <w:r/>
          </w:p>
        </w:tc>
      </w:tr>
    </w:tbl>
    <w:p>
      <w:pPr>
        <w:pStyle w:val="879"/>
        <w:ind w:firstLine="480"/>
        <w:spacing w:line="360" w:lineRule="auto"/>
        <w:rPr>
          <w:rFonts w:ascii="宋体" w:hAnsi="宋体" w:cs="宋体"/>
          <w:sz w:val="24"/>
          <w:highlight w:val="none"/>
        </w:rPr>
      </w:pPr>
      <w:r>
        <w:rPr>
          <w:rFonts w:hint="eastAsia" w:ascii="宋体" w:hAnsi="宋体" w:cs="宋体"/>
          <w:sz w:val="24"/>
          <w:highlight w:val="none"/>
        </w:rPr>
        <w:t xml:space="preserve">供应商（服务单位）（公章）：</w:t>
      </w:r>
      <w:r>
        <w:rPr>
          <w:highlight w:val="none"/>
        </w:rPr>
      </w:r>
      <w:r/>
    </w:p>
    <w:p>
      <w:pPr>
        <w:pStyle w:val="879"/>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项目负责人签字：</w:t>
      </w:r>
      <w:r>
        <w:rPr>
          <w:highlight w:val="none"/>
        </w:rPr>
      </w:r>
      <w:r/>
    </w:p>
    <w:p>
      <w:pPr>
        <w:pStyle w:val="879"/>
        <w:spacing w:line="360" w:lineRule="auto"/>
        <w:rPr>
          <w:rFonts w:hint="eastAsia" w:ascii="宋体" w:hAnsi="宋体" w:cs="宋体"/>
          <w:b/>
          <w:sz w:val="24"/>
          <w:szCs w:val="44"/>
          <w:highlight w:val="none"/>
        </w:rPr>
      </w:pPr>
      <w:r>
        <w:rPr>
          <w:rFonts w:hint="eastAsia" w:ascii="宋体" w:hAnsi="宋体" w:cs="宋体"/>
          <w:sz w:val="24"/>
          <w:highlight w:val="none"/>
        </w:rPr>
        <w:br w:type="page" w:clear="all"/>
      </w:r>
      <w:r>
        <w:rPr>
          <w:rFonts w:hint="eastAsia" w:ascii="宋体" w:hAnsi="宋体" w:cs="宋体"/>
          <w:b/>
          <w:szCs w:val="36"/>
          <w:highlight w:val="none"/>
        </w:rPr>
        <w:t xml:space="preserve">附件2：</w:t>
      </w:r>
      <w:r>
        <w:rPr>
          <w:highlight w:val="none"/>
        </w:rPr>
      </w:r>
      <w:r/>
    </w:p>
    <w:p>
      <w:pPr>
        <w:pStyle w:val="879"/>
        <w:jc w:val="center"/>
        <w:spacing w:after="160" w:line="360" w:lineRule="auto"/>
        <w:rPr>
          <w:rFonts w:hint="eastAsia" w:ascii="宋体" w:hAnsi="宋体" w:cs="宋体"/>
          <w:b/>
          <w:sz w:val="36"/>
          <w:szCs w:val="22"/>
          <w:highlight w:val="none"/>
        </w:rPr>
      </w:pPr>
      <w:r>
        <w:rPr>
          <w:rFonts w:hint="eastAsia" w:ascii="宋体" w:hAnsi="宋体" w:cs="宋体"/>
          <w:b/>
          <w:sz w:val="36"/>
          <w:szCs w:val="22"/>
          <w:highlight w:val="none"/>
        </w:rPr>
        <w:t xml:space="preserve">服务类项目履约验收方案</w:t>
      </w:r>
      <w:r>
        <w:rPr>
          <w:highlight w:val="none"/>
        </w:rPr>
      </w:r>
      <w:r/>
    </w:p>
    <w:p>
      <w:pPr>
        <w:pStyle w:val="879"/>
        <w:numPr>
          <w:ilvl w:val="0"/>
          <w:numId w:val="1"/>
        </w:numPr>
        <w:jc w:val="left"/>
        <w:spacing w:after="160" w:line="360" w:lineRule="auto"/>
        <w:rPr>
          <w:rFonts w:hint="eastAsia" w:ascii="宋体" w:hAnsi="宋体" w:cs="宋体"/>
          <w:b/>
          <w:highlight w:val="none"/>
        </w:rPr>
      </w:pPr>
      <w:r>
        <w:rPr>
          <w:rFonts w:hint="eastAsia" w:ascii="宋体" w:hAnsi="宋体" w:cs="宋体"/>
          <w:b/>
          <w:sz w:val="24"/>
          <w:highlight w:val="none"/>
        </w:rPr>
        <w:t xml:space="preserve">项目概况</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项目编号：</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项目名称：</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供应商名称：</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合同金额：</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验收主体：</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验收目的</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验收依据</w:t>
      </w:r>
      <w:r>
        <w:rPr>
          <w:highlight w:val="none"/>
        </w:rPr>
      </w:r>
      <w:r/>
    </w:p>
    <w:p>
      <w:pPr>
        <w:pStyle w:val="879"/>
        <w:jc w:val="left"/>
        <w:spacing w:after="160"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采购单位通过政府采购方式和程序确定供应商的货物和服务类政府采购项目应当执行《江苏省政府采购履约验收管理办法》</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苏财规〔2024〕7号</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rPr>
        <w:t xml:space="preserve">。政府招标文件、供应商投标（响应）文件、政府采购合同是履约验收工作的基本依据。</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验收责任主体</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验收方式（形式）</w:t>
      </w:r>
      <w:r>
        <w:rPr>
          <w:highlight w:val="none"/>
        </w:rPr>
      </w:r>
      <w:r/>
    </w:p>
    <w:p>
      <w:pPr>
        <w:pStyle w:val="879"/>
        <w:jc w:val="left"/>
        <w:spacing w:after="160" w:line="360" w:lineRule="auto"/>
        <w:rPr>
          <w:rFonts w:hint="eastAsia" w:ascii="宋体" w:hAnsi="宋体" w:cs="宋体"/>
          <w:b/>
          <w:szCs w:val="22"/>
          <w:highlight w:val="none"/>
        </w:rPr>
      </w:pPr>
      <w:r>
        <w:rPr>
          <w:rFonts w:hint="eastAsia" w:ascii="宋体" w:hAnsi="宋体" w:cs="宋体"/>
          <w:b/>
          <w:szCs w:val="22"/>
          <w:highlight w:val="none"/>
        </w:rPr>
        <w:t xml:space="preserve">5.1日常考核、分段验收</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rPr>
          <w:highlight w:val="none"/>
        </w:rPr>
      </w:r>
      <w:r/>
    </w:p>
    <w:p>
      <w:pPr>
        <w:pStyle w:val="879"/>
        <w:spacing w:after="120" w:line="278" w:lineRule="auto"/>
        <w:rPr>
          <w:rFonts w:hint="eastAsia" w:ascii="宋体" w:hAnsi="宋体" w:cs="宋体"/>
          <w:b/>
          <w:szCs w:val="22"/>
          <w:highlight w:val="none"/>
        </w:rPr>
      </w:pPr>
      <w:r>
        <w:rPr>
          <w:rFonts w:hint="eastAsia" w:ascii="宋体" w:hAnsi="宋体" w:cs="宋体"/>
          <w:szCs w:val="22"/>
          <w:highlight w:val="none"/>
        </w:rPr>
        <w:t xml:space="preserve">5.2</w:t>
      </w:r>
      <w:r>
        <w:rPr>
          <w:rFonts w:hint="eastAsia" w:ascii="宋体" w:hAnsi="宋体" w:cs="宋体"/>
          <w:b/>
          <w:szCs w:val="22"/>
          <w:highlight w:val="none"/>
        </w:rPr>
        <w:t xml:space="preserve">最终验收</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验收内容</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验收程序</w:t>
      </w:r>
      <w:r>
        <w:rPr>
          <w:highlight w:val="none"/>
        </w:rPr>
      </w:r>
      <w:r/>
    </w:p>
    <w:p>
      <w:pPr>
        <w:pStyle w:val="879"/>
        <w:jc w:val="left"/>
        <w:spacing w:after="160" w:line="360" w:lineRule="auto"/>
        <w:rPr>
          <w:rFonts w:hint="eastAsia" w:ascii="宋体" w:hAnsi="宋体" w:cs="宋体"/>
          <w:b/>
          <w:bCs/>
          <w:szCs w:val="22"/>
          <w:highlight w:val="none"/>
        </w:rPr>
      </w:pPr>
      <w:r>
        <w:rPr>
          <w:rFonts w:hint="eastAsia" w:ascii="宋体" w:hAnsi="宋体" w:cs="宋体"/>
          <w:b/>
          <w:bCs/>
          <w:szCs w:val="22"/>
          <w:highlight w:val="none"/>
        </w:rPr>
        <w:t xml:space="preserve">7.1验收准备</w:t>
      </w:r>
      <w:r>
        <w:rPr>
          <w:highlight w:val="none"/>
        </w:rPr>
      </w:r>
      <w:r/>
    </w:p>
    <w:p>
      <w:pPr>
        <w:pStyle w:val="879"/>
        <w:spacing w:after="160" w:line="360" w:lineRule="auto"/>
        <w:rPr>
          <w:rFonts w:hint="eastAsia" w:ascii="宋体" w:hAnsi="宋体" w:cs="宋体"/>
          <w:szCs w:val="22"/>
          <w:highlight w:val="none"/>
        </w:rPr>
      </w:pPr>
      <w:r>
        <w:rPr>
          <w:rFonts w:hint="eastAsia" w:ascii="宋体" w:hAnsi="宋体" w:cs="宋体"/>
          <w:szCs w:val="22"/>
          <w:highlight w:val="none"/>
        </w:rPr>
        <w:t xml:space="preserve">7.1.1合同履行达到招标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szCs w:val="22"/>
          <w:highlight w:val="none"/>
        </w:rPr>
        <w:t xml:space="preserve">供应商在收到催告后五个工作日内拒不配合的，采购人应依照合同约定追究其责任。</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7.1.2供应商应当配合采购人、采购代理机构做好项目验收工作，及时提供与项目验收相关的生产、技术、服务、数量、质量、安全、合格证明及验收所必须具备的其他材料。</w:t>
      </w:r>
      <w:r>
        <w:rPr>
          <w:highlight w:val="none"/>
        </w:rPr>
      </w:r>
      <w:r/>
    </w:p>
    <w:p>
      <w:pPr>
        <w:pStyle w:val="879"/>
        <w:jc w:val="left"/>
        <w:spacing w:after="160" w:line="360" w:lineRule="auto"/>
        <w:rPr>
          <w:rFonts w:hint="eastAsia" w:ascii="宋体" w:hAnsi="宋体" w:cs="宋体"/>
          <w:szCs w:val="22"/>
          <w:highlight w:val="none"/>
          <w:shd w:val="pct10" w:color="auto" w:fill="ffffff"/>
        </w:rPr>
      </w:pPr>
      <w:r>
        <w:rPr>
          <w:rFonts w:hint="eastAsia" w:ascii="宋体" w:hAnsi="宋体" w:cs="宋体"/>
          <w:szCs w:val="22"/>
          <w:highlight w:val="none"/>
        </w:rPr>
        <w:t xml:space="preserve">7.1.3采购人应及时全面准备验收，自收到验收申请之日起</w:t>
      </w:r>
      <w:r>
        <w:rPr>
          <w:rFonts w:hint="eastAsia" w:ascii="宋体" w:hAnsi="宋体" w:cs="宋体"/>
          <w:b/>
          <w:szCs w:val="22"/>
          <w:highlight w:val="none"/>
        </w:rPr>
        <w:t xml:space="preserve">五个工作日</w:t>
      </w:r>
      <w:r>
        <w:rPr>
          <w:rFonts w:hint="eastAsia" w:ascii="宋体" w:hAnsi="宋体" w:cs="宋体"/>
          <w:szCs w:val="22"/>
          <w:highlight w:val="none"/>
        </w:rPr>
        <w:t xml:space="preserve">内做好通水、通电、准备验收工具等必要的验收准备工作、启动项目验收、通知供应商。</w:t>
      </w:r>
      <w:r>
        <w:rPr>
          <w:highlight w:val="none"/>
        </w:rPr>
      </w:r>
      <w:r/>
    </w:p>
    <w:p>
      <w:pPr>
        <w:pStyle w:val="879"/>
        <w:jc w:val="left"/>
        <w:spacing w:after="160" w:line="360" w:lineRule="auto"/>
        <w:rPr>
          <w:rFonts w:hint="eastAsia" w:ascii="宋体" w:hAnsi="宋体" w:cs="宋体"/>
          <w:b/>
          <w:bCs/>
          <w:szCs w:val="22"/>
          <w:highlight w:val="none"/>
        </w:rPr>
      </w:pPr>
      <w:r>
        <w:rPr>
          <w:rFonts w:hint="eastAsia" w:ascii="宋体" w:hAnsi="宋体" w:cs="宋体"/>
          <w:b/>
          <w:bCs/>
          <w:szCs w:val="22"/>
          <w:highlight w:val="none"/>
        </w:rPr>
        <w:t xml:space="preserve">7.2成立验收小组</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bCs/>
          <w:szCs w:val="22"/>
          <w:highlight w:val="none"/>
        </w:rPr>
        <w:t xml:space="preserve">7.2.1采购人应当组织成立验收小组</w:t>
      </w:r>
      <w:r>
        <w:rPr>
          <w:rFonts w:hint="eastAsia" w:ascii="宋体" w:hAnsi="宋体" w:cs="宋体"/>
          <w:szCs w:val="22"/>
          <w:highlight w:val="none"/>
        </w:rPr>
        <w:t xml:space="preserve">，验收小组负责实施项目验收工作，其成员构成、人员数量以及负责人由采购人确定，</w:t>
      </w:r>
      <w:r>
        <w:rPr>
          <w:rFonts w:hint="eastAsia" w:ascii="宋体" w:hAnsi="宋体" w:cs="宋体"/>
          <w:b/>
          <w:bCs/>
          <w:szCs w:val="22"/>
          <w:highlight w:val="none"/>
        </w:rPr>
        <w:t xml:space="preserve">劳务报酬等费用由中标单位承担</w:t>
      </w:r>
      <w:r>
        <w:rPr>
          <w:rFonts w:hint="eastAsia" w:ascii="宋体" w:hAnsi="宋体" w:cs="宋体"/>
          <w:szCs w:val="22"/>
          <w:highlight w:val="none"/>
        </w:rPr>
        <w:t xml:space="preserve">。</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7.2.2 验收小组应由采购人指定的具有相关专业能力或从事相关领域工作的 3 人以上单数人员组成，其中至少包含 1 名采购人的工作人员，若经办采购的人员与采购需求人员分属不同部门，二者应当同时参与验收。采购人可以委托同领域其他单位或者第三方专业机构人员，该人员不得同时作为7.3.2规定的参与验收人员。</w:t>
      </w:r>
      <w:r>
        <w:rPr>
          <w:rFonts w:hint="eastAsia" w:ascii="宋体" w:hAnsi="宋体" w:cs="宋体"/>
          <w:b/>
          <w:szCs w:val="22"/>
          <w:highlight w:val="none"/>
        </w:rPr>
        <w:t xml:space="preserve">采取代建方式进行采购</w:t>
      </w:r>
      <w:r>
        <w:rPr>
          <w:rFonts w:hint="eastAsia" w:ascii="宋体" w:hAnsi="宋体" w:cs="宋体"/>
          <w:szCs w:val="22"/>
          <w:highlight w:val="none"/>
        </w:rPr>
        <w:t xml:space="preserve">的，结合代建协议内容按照本条规定成立验收小组。</w:t>
      </w:r>
      <w:r>
        <w:rPr>
          <w:rFonts w:hint="eastAsia" w:ascii="宋体" w:hAnsi="宋体" w:cs="宋体"/>
          <w:b/>
          <w:szCs w:val="22"/>
          <w:highlight w:val="none"/>
        </w:rPr>
        <w:t xml:space="preserve">日常考核、分段验收小组成员的组成不受本条规定约束</w:t>
      </w:r>
      <w:r>
        <w:rPr>
          <w:rFonts w:hint="eastAsia" w:ascii="宋体" w:hAnsi="宋体" w:cs="宋体"/>
          <w:szCs w:val="22"/>
          <w:highlight w:val="none"/>
        </w:rPr>
        <w:t xml:space="preserve">，但采购人的工作人员必须参与最终验收。</w:t>
      </w:r>
      <w:r>
        <w:rPr>
          <w:highlight w:val="none"/>
        </w:rPr>
      </w:r>
      <w:r/>
    </w:p>
    <w:p>
      <w:pPr>
        <w:pStyle w:val="879"/>
        <w:jc w:val="left"/>
        <w:spacing w:after="160" w:line="360" w:lineRule="auto"/>
        <w:rPr>
          <w:rFonts w:hint="eastAsia" w:ascii="宋体" w:hAnsi="宋体" w:cs="宋体"/>
          <w:b/>
          <w:bCs/>
          <w:szCs w:val="22"/>
          <w:highlight w:val="none"/>
        </w:rPr>
      </w:pPr>
      <w:r>
        <w:rPr>
          <w:rFonts w:hint="eastAsia" w:ascii="宋体" w:hAnsi="宋体" w:cs="宋体"/>
          <w:b/>
          <w:bCs/>
          <w:szCs w:val="22"/>
          <w:highlight w:val="none"/>
        </w:rPr>
        <w:t xml:space="preserve">7.3参与验收人员</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7.3.1对于采购人和使用人分离的采购项目，采购人应当邀请实际使用人参与验收。政府向社会公众提供的公共服务项目，验收时应当邀请服务对象参与，且验收结果应当向社会公布。</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7.3.2采购人可以邀请参加本项目的其他供应商、专家、第三方专业机构参与验收。若采购项目受到参与该项目投标（响应）的其他供应商的投诉，且投诉事项是针对中标结果中的型号、参数等与履约验收相关问题的，可以重点邀请前述供应商参与验收。</w:t>
      </w:r>
      <w:r>
        <w:rPr>
          <w:highlight w:val="none"/>
        </w:rPr>
      </w:r>
      <w:r/>
    </w:p>
    <w:p>
      <w:pPr>
        <w:pStyle w:val="879"/>
        <w:jc w:val="left"/>
        <w:spacing w:after="160" w:line="360" w:lineRule="auto"/>
        <w:rPr>
          <w:rFonts w:hint="eastAsia" w:ascii="宋体" w:hAnsi="宋体" w:cs="宋体"/>
          <w:b/>
          <w:bCs/>
          <w:szCs w:val="22"/>
          <w:highlight w:val="none"/>
        </w:rPr>
      </w:pPr>
      <w:r>
        <w:rPr>
          <w:rFonts w:hint="eastAsia" w:ascii="宋体" w:hAnsi="宋体" w:cs="宋体"/>
          <w:b/>
          <w:bCs/>
          <w:szCs w:val="22"/>
          <w:highlight w:val="none"/>
        </w:rPr>
        <w:t xml:space="preserve">7.4验收原则</w:t>
      </w:r>
      <w:r>
        <w:rPr>
          <w:highlight w:val="none"/>
        </w:rPr>
      </w:r>
      <w:r/>
    </w:p>
    <w:p>
      <w:pPr>
        <w:pStyle w:val="879"/>
        <w:spacing w:after="120" w:line="360" w:lineRule="auto"/>
        <w:rPr>
          <w:rFonts w:hint="eastAsia" w:ascii="宋体" w:hAnsi="宋体" w:cs="宋体"/>
          <w:szCs w:val="22"/>
          <w:highlight w:val="none"/>
        </w:rPr>
      </w:pPr>
      <w:r>
        <w:rPr>
          <w:rFonts w:hint="eastAsia" w:ascii="宋体" w:hAnsi="宋体" w:cs="宋体"/>
          <w:szCs w:val="22"/>
          <w:highlight w:val="none"/>
        </w:rPr>
        <w:t xml:space="preserve">政府采购履约验收应当遵循全面完整、客观真实、诚实信用的原则，坚持公开透明、应验必验、验收必严、违约必究。</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7.4.2项目验收范围应当完整，与采购合同一致，不得省略、遗漏和缺失，也不得擅自扩大范围。</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7.4.3项目验收方式应当符合项目特点，不能明确客观标准、涉及主观判断的，可以通过在采购人、使用人中开展问卷调查等方式予以客观、量化。</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7.4.4项目验收标准应包括所有客观、量化指标，符合采购合同约定，未进行相应约定的，应当符合法律法规、政策要求、国家标准、行业标准，地方标准或企业标准等有关标准。</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7.4.5项目验收意见应当客观真实。验收小组成员意见不一致时，按照少数服从多数的原则作出验收意见。</w:t>
      </w:r>
      <w:r>
        <w:rPr>
          <w:highlight w:val="none"/>
        </w:rPr>
      </w:r>
      <w:r/>
    </w:p>
    <w:p>
      <w:pPr>
        <w:pStyle w:val="879"/>
        <w:spacing w:after="120" w:line="278" w:lineRule="auto"/>
        <w:rPr>
          <w:rFonts w:hint="eastAsia" w:ascii="宋体" w:hAnsi="宋体" w:cs="宋体"/>
          <w:szCs w:val="22"/>
          <w:highlight w:val="none"/>
        </w:rPr>
      </w:pPr>
      <w:r>
        <w:rPr>
          <w:rFonts w:hint="eastAsia" w:ascii="宋体" w:hAnsi="宋体" w:cs="宋体"/>
          <w:szCs w:val="22"/>
          <w:highlight w:val="none"/>
        </w:rPr>
        <w:t xml:space="preserve">7.4.6验收方法主要包括全部查验核对和抽查核对。</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b/>
          <w:bCs/>
          <w:szCs w:val="22"/>
          <w:highlight w:val="none"/>
        </w:rPr>
        <w:t xml:space="preserve">7.5验收记录</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7.5.1验收小组应当要求参与验收的供应商、专业机构、专家和服务对象等出具书面意见，作为验收书的重要组成部分。</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招标文件、投标（响应）文件、政府采购合同等逐一进行检验、核实、评估等工作，使用音视频、对现场情况描述且签字等方式留存证明材料，由供应商确认，作为履约验收的重要凭据。</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验收结果</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3、</w:t>
      </w:r>
      <w:r>
        <w:rPr>
          <w:rFonts w:hint="eastAsia" w:ascii="宋体" w:hAnsi="宋体" w:cs="宋体"/>
          <w:b/>
          <w:bCs/>
          <w:szCs w:val="22"/>
          <w:highlight w:val="none"/>
        </w:rPr>
        <w:t xml:space="preserve">《政府采购履约验收书》（见下表1）、合同是申请支付政府采购合同价款的必备资料。</w:t>
      </w:r>
      <w:r>
        <w:rPr>
          <w:rFonts w:hint="eastAsia" w:ascii="宋体" w:hAnsi="宋体" w:cs="宋体"/>
          <w:szCs w:val="22"/>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招标文件予以相应扣减。</w:t>
      </w:r>
      <w:r>
        <w:rPr>
          <w:highlight w:val="none"/>
        </w:rPr>
      </w:r>
      <w:r/>
    </w:p>
    <w:p>
      <w:pPr>
        <w:pStyle w:val="879"/>
        <w:numPr>
          <w:ilvl w:val="0"/>
          <w:numId w:val="1"/>
        </w:numPr>
        <w:jc w:val="left"/>
        <w:spacing w:after="160" w:line="360" w:lineRule="auto"/>
        <w:rPr>
          <w:rFonts w:hint="eastAsia" w:ascii="宋体" w:hAnsi="宋体" w:cs="宋体"/>
          <w:b/>
          <w:sz w:val="24"/>
          <w:highlight w:val="none"/>
        </w:rPr>
      </w:pPr>
      <w:r>
        <w:rPr>
          <w:rFonts w:hint="eastAsia" w:ascii="宋体" w:hAnsi="宋体" w:cs="宋体"/>
          <w:b/>
          <w:sz w:val="24"/>
          <w:highlight w:val="none"/>
        </w:rPr>
        <w:t xml:space="preserve">验收资料归档</w:t>
      </w:r>
      <w:r>
        <w:rPr>
          <w:highlight w:val="none"/>
        </w:rPr>
      </w:r>
      <w:r/>
    </w:p>
    <w:p>
      <w:pPr>
        <w:pStyle w:val="879"/>
        <w:jc w:val="left"/>
        <w:spacing w:after="160" w:line="360" w:lineRule="auto"/>
        <w:rPr>
          <w:rFonts w:hint="eastAsia" w:ascii="宋体" w:hAnsi="宋体" w:cs="宋体"/>
          <w:szCs w:val="22"/>
          <w:highlight w:val="none"/>
        </w:rPr>
      </w:pPr>
      <w:r>
        <w:rPr>
          <w:rFonts w:hint="eastAsia" w:ascii="宋体" w:hAnsi="宋体" w:cs="宋体"/>
          <w:szCs w:val="22"/>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szCs w:val="22"/>
          <w:highlight w:val="none"/>
        </w:rPr>
        <w:t xml:space="preserve">至少保存十五年</w:t>
      </w:r>
      <w:r>
        <w:rPr>
          <w:rFonts w:hint="eastAsia" w:ascii="宋体" w:hAnsi="宋体" w:cs="宋体"/>
          <w:szCs w:val="22"/>
          <w:highlight w:val="none"/>
        </w:rPr>
        <w:t xml:space="preserve">。</w:t>
      </w:r>
      <w:r>
        <w:rPr>
          <w:highlight w:val="none"/>
        </w:rPr>
      </w:r>
      <w:r/>
    </w:p>
    <w:p>
      <w:pPr>
        <w:pStyle w:val="879"/>
        <w:spacing w:line="360" w:lineRule="auto"/>
        <w:tabs>
          <w:tab w:val="left" w:pos="0" w:leader="none"/>
        </w:tabs>
        <w:rPr>
          <w:rFonts w:hint="eastAsia" w:ascii="宋体" w:hAnsi="宋体" w:cs="宋体"/>
          <w:highlight w:val="none"/>
        </w:rPr>
      </w:pPr>
      <w:r>
        <w:rPr>
          <w:rFonts w:hint="eastAsia" w:ascii="宋体" w:hAnsi="宋体" w:cs="宋体"/>
          <w:highlight w:val="none"/>
        </w:rPr>
      </w:r>
      <w:r>
        <w:rPr>
          <w:highlight w:val="none"/>
        </w:rPr>
      </w:r>
      <w:r/>
    </w:p>
    <w:p>
      <w:pPr>
        <w:pStyle w:val="895"/>
        <w:rPr>
          <w:highlight w:val="none"/>
        </w:rPr>
        <w:sectPr>
          <w:footerReference w:type="default" r:id="rId10"/>
          <w:footerReference w:type="first" r:id="rId11"/>
          <w:footnotePr/>
          <w:endnotePr/>
          <w:type w:val="nextPage"/>
          <w:pgSz w:w="11906" w:h="16838" w:orient="portrait"/>
          <w:pgMar w:top="1418" w:right="1021" w:bottom="1418" w:left="1021" w:header="567" w:footer="567" w:gutter="0"/>
          <w:cols w:num="1" w:sep="0" w:space="1701" w:equalWidth="1"/>
          <w:docGrid w:linePitch="360"/>
          <w:titlePg/>
        </w:sectPr>
      </w:pPr>
      <w:r>
        <w:rPr>
          <w:highlight w:val="none"/>
        </w:rPr>
      </w:r>
      <w:r>
        <w:rPr>
          <w:highlight w:val="none"/>
        </w:rPr>
      </w:r>
      <w:r/>
    </w:p>
    <w:p>
      <w:pPr>
        <w:pStyle w:val="879"/>
        <w:spacing w:after="120" w:line="360" w:lineRule="auto"/>
        <w:rPr>
          <w:rFonts w:hint="eastAsia" w:hAnsi="宋体" w:cs="宋体"/>
          <w:b/>
          <w:bCs/>
          <w:sz w:val="28"/>
          <w:szCs w:val="28"/>
          <w:highlight w:val="none"/>
        </w:rPr>
      </w:pPr>
      <w:r>
        <w:rPr>
          <w:rFonts w:hint="eastAsia" w:hAnsi="宋体" w:cs="宋体"/>
          <w:b/>
          <w:bCs/>
          <w:sz w:val="28"/>
          <w:szCs w:val="28"/>
          <w:highlight w:val="none"/>
        </w:rPr>
        <w:t xml:space="preserve">附件3、</w:t>
      </w:r>
      <w:r>
        <w:rPr>
          <w:rFonts w:hAnsi="宋体" w:cs="宋体"/>
          <w:b/>
          <w:bCs/>
          <w:sz w:val="28"/>
          <w:szCs w:val="28"/>
          <w:highlight w:val="none"/>
        </w:rPr>
        <w:t xml:space="preserve">政府采购履约验收书</w:t>
      </w:r>
      <w:r>
        <w:rPr>
          <w:highlight w:val="none"/>
        </w:rPr>
      </w:r>
      <w:r/>
    </w:p>
    <w:p>
      <w:pPr>
        <w:pStyle w:val="893"/>
        <w:ind w:left="0" w:firstLine="0"/>
        <w:rPr>
          <w:highlight w:val="none"/>
        </w:rPr>
      </w:pPr>
      <w:r>
        <w:rPr>
          <w:highlight w:val="none"/>
        </w:rPr>
      </w:r>
      <w:r>
        <w:rPr>
          <w:highlight w:val="none"/>
        </w:rPr>
      </w:r>
      <w:r/>
    </w:p>
    <w:p>
      <w:pPr>
        <w:pStyle w:val="879"/>
        <w:ind w:left="3812"/>
        <w:spacing w:before="72" w:line="185" w:lineRule="auto"/>
        <w:rPr>
          <w:rFonts w:ascii="微软雅黑" w:hAnsi="微软雅黑" w:eastAsia="微软雅黑" w:cs="微软雅黑"/>
          <w:sz w:val="36"/>
          <w:szCs w:val="36"/>
          <w:highlight w:val="none"/>
        </w:rPr>
        <w:outlineLvl w:val="1"/>
      </w:pPr>
      <w:r>
        <w:rPr>
          <w:rFonts w:ascii="微软雅黑" w:hAnsi="微软雅黑" w:eastAsia="微软雅黑" w:cs="微软雅黑"/>
          <w:spacing w:val="19"/>
          <w:sz w:val="36"/>
          <w:szCs w:val="36"/>
          <w:highlight w:val="none"/>
        </w:rPr>
        <w:t xml:space="preserve">政府采购履约验收书参考样本(服务类)</w:t>
      </w:r>
      <w:r>
        <w:rPr>
          <w:highlight w:val="none"/>
        </w:rPr>
      </w:r>
      <w:r/>
    </w:p>
    <w:tbl>
      <w:tblPr>
        <w:tblStyle w:val="1245"/>
        <w:tblW w:w="500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603"/>
        <w:gridCol w:w="1690"/>
        <w:gridCol w:w="1793"/>
        <w:gridCol w:w="1891"/>
        <w:gridCol w:w="555"/>
        <w:gridCol w:w="1684"/>
        <w:gridCol w:w="2256"/>
        <w:gridCol w:w="2533"/>
        <w:gridCol w:w="6"/>
      </w:tblGrid>
      <w:tr>
        <w:trPr>
          <w:gridAfter w:val="1"/>
          <w:trHeight w:val="562"/>
        </w:trPr>
        <w:tc>
          <w:tcPr>
            <w:tcW w:w="572" w:type="dxa"/>
            <w:vAlign w:val="top"/>
            <w:textDirection w:val="lrTb"/>
            <w:noWrap w:val="false"/>
          </w:tcPr>
          <w:p>
            <w:pPr>
              <w:pStyle w:val="879"/>
              <w:ind w:left="543"/>
              <w:spacing w:before="298" w:line="207"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采购人</w:t>
            </w:r>
            <w:r>
              <w:rPr>
                <w:highlight w:val="none"/>
              </w:rPr>
            </w:r>
            <w:r/>
          </w:p>
        </w:tc>
        <w:tc>
          <w:tcPr>
            <w:tcW w:w="603" w:type="dxa"/>
            <w:vAlign w:val="top"/>
            <w:textDirection w:val="lrTb"/>
            <w:noWrap w:val="false"/>
          </w:tcPr>
          <w:p>
            <w:pPr>
              <w:pStyle w:val="1244"/>
              <w:rPr>
                <w:highlight w:val="none"/>
              </w:rPr>
            </w:pPr>
            <w:r>
              <w:rPr>
                <w:highlight w:val="none"/>
              </w:rPr>
            </w:r>
            <w:r>
              <w:rPr>
                <w:highlight w:val="none"/>
              </w:rPr>
            </w:r>
            <w:r/>
          </w:p>
        </w:tc>
        <w:tc>
          <w:tcPr>
            <w:tcW w:w="640" w:type="dxa"/>
            <w:vAlign w:val="top"/>
            <w:textDirection w:val="lrTb"/>
            <w:noWrap w:val="false"/>
          </w:tcPr>
          <w:p>
            <w:pPr>
              <w:pStyle w:val="879"/>
              <w:ind w:left="553"/>
              <w:spacing w:before="298" w:line="208"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项目名称</w:t>
            </w:r>
            <w:r>
              <w:rPr>
                <w:highlight w:val="none"/>
              </w:rPr>
            </w:r>
            <w:r/>
          </w:p>
        </w:tc>
        <w:tc>
          <w:tcPr>
            <w:gridSpan w:val="2"/>
            <w:tcW w:w="2446" w:type="dxa"/>
            <w:vAlign w:val="top"/>
            <w:textDirection w:val="lrTb"/>
            <w:noWrap w:val="false"/>
          </w:tcPr>
          <w:p>
            <w:pPr>
              <w:pStyle w:val="1244"/>
              <w:rPr>
                <w:highlight w:val="none"/>
              </w:rPr>
            </w:pPr>
            <w:r>
              <w:rPr>
                <w:highlight w:val="none"/>
              </w:rPr>
            </w:r>
            <w:r>
              <w:rPr>
                <w:highlight w:val="none"/>
              </w:rPr>
            </w:r>
            <w:r/>
          </w:p>
        </w:tc>
        <w:tc>
          <w:tcPr>
            <w:gridSpan w:val="2"/>
            <w:tcW w:w="3940" w:type="dxa"/>
            <w:vAlign w:val="top"/>
            <w:textDirection w:val="lrTb"/>
            <w:noWrap w:val="false"/>
          </w:tcPr>
          <w:p>
            <w:pPr>
              <w:pStyle w:val="879"/>
              <w:ind w:left="1640"/>
              <w:spacing w:before="29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合同名称</w:t>
            </w:r>
            <w:r>
              <w:rPr>
                <w:highlight w:val="none"/>
              </w:rPr>
            </w:r>
            <w:r/>
          </w:p>
        </w:tc>
        <w:tc>
          <w:tcPr>
            <w:tcW w:w="903" w:type="dxa"/>
            <w:vAlign w:val="top"/>
            <w:textDirection w:val="lrTb"/>
            <w:noWrap w:val="false"/>
          </w:tcPr>
          <w:p>
            <w:pPr>
              <w:pStyle w:val="1244"/>
              <w:rPr>
                <w:highlight w:val="none"/>
              </w:rPr>
            </w:pPr>
            <w:r>
              <w:rPr>
                <w:highlight w:val="none"/>
              </w:rPr>
            </w:r>
            <w:r>
              <w:rPr>
                <w:highlight w:val="none"/>
              </w:rPr>
            </w:r>
            <w:r/>
          </w:p>
        </w:tc>
      </w:tr>
      <w:tr>
        <w:trPr>
          <w:gridAfter w:val="1"/>
          <w:trHeight w:val="564"/>
        </w:trPr>
        <w:tc>
          <w:tcPr>
            <w:tcW w:w="572" w:type="dxa"/>
            <w:vAlign w:val="top"/>
            <w:textDirection w:val="lrTb"/>
            <w:noWrap w:val="false"/>
          </w:tcPr>
          <w:p>
            <w:pPr>
              <w:pStyle w:val="879"/>
              <w:ind w:left="544"/>
              <w:spacing w:before="298" w:line="207"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供应商</w:t>
            </w:r>
            <w:r>
              <w:rPr>
                <w:highlight w:val="none"/>
              </w:rPr>
            </w:r>
            <w:r/>
          </w:p>
        </w:tc>
        <w:tc>
          <w:tcPr>
            <w:tcW w:w="603" w:type="dxa"/>
            <w:vAlign w:val="top"/>
            <w:textDirection w:val="lrTb"/>
            <w:noWrap w:val="false"/>
          </w:tcPr>
          <w:p>
            <w:pPr>
              <w:pStyle w:val="1244"/>
              <w:rPr>
                <w:highlight w:val="none"/>
              </w:rPr>
            </w:pPr>
            <w:r>
              <w:rPr>
                <w:highlight w:val="none"/>
              </w:rPr>
            </w:r>
            <w:r>
              <w:rPr>
                <w:highlight w:val="none"/>
              </w:rPr>
            </w:r>
            <w:r/>
          </w:p>
        </w:tc>
        <w:tc>
          <w:tcPr>
            <w:tcW w:w="640" w:type="dxa"/>
            <w:vAlign w:val="top"/>
            <w:textDirection w:val="lrTb"/>
            <w:noWrap w:val="false"/>
          </w:tcPr>
          <w:p>
            <w:pPr>
              <w:pStyle w:val="879"/>
              <w:ind w:left="285"/>
              <w:spacing w:before="29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项目及合同编号</w:t>
            </w:r>
            <w:r>
              <w:rPr>
                <w:highlight w:val="none"/>
              </w:rPr>
            </w:r>
            <w:r/>
          </w:p>
        </w:tc>
        <w:tc>
          <w:tcPr>
            <w:gridSpan w:val="2"/>
            <w:tcW w:w="2446" w:type="dxa"/>
            <w:vAlign w:val="top"/>
            <w:textDirection w:val="lrTb"/>
            <w:noWrap w:val="false"/>
          </w:tcPr>
          <w:p>
            <w:pPr>
              <w:pStyle w:val="1244"/>
              <w:rPr>
                <w:highlight w:val="none"/>
              </w:rPr>
            </w:pPr>
            <w:r>
              <w:rPr>
                <w:highlight w:val="none"/>
              </w:rPr>
            </w:r>
            <w:r>
              <w:rPr>
                <w:highlight w:val="none"/>
              </w:rPr>
            </w:r>
            <w:r/>
          </w:p>
        </w:tc>
        <w:tc>
          <w:tcPr>
            <w:gridSpan w:val="2"/>
            <w:tcW w:w="3940" w:type="dxa"/>
            <w:vAlign w:val="top"/>
            <w:textDirection w:val="lrTb"/>
            <w:noWrap w:val="false"/>
          </w:tcPr>
          <w:p>
            <w:pPr>
              <w:pStyle w:val="879"/>
              <w:ind w:left="1640"/>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合同金额</w:t>
            </w:r>
            <w:r>
              <w:rPr>
                <w:highlight w:val="none"/>
              </w:rPr>
            </w:r>
            <w:r/>
          </w:p>
        </w:tc>
        <w:tc>
          <w:tcPr>
            <w:tcW w:w="903" w:type="dxa"/>
            <w:vAlign w:val="top"/>
            <w:textDirection w:val="lrTb"/>
            <w:noWrap w:val="false"/>
          </w:tcPr>
          <w:p>
            <w:pPr>
              <w:pStyle w:val="1244"/>
              <w:rPr>
                <w:highlight w:val="none"/>
              </w:rPr>
            </w:pPr>
            <w:r>
              <w:rPr>
                <w:highlight w:val="none"/>
              </w:rPr>
            </w:r>
            <w:r>
              <w:rPr>
                <w:highlight w:val="none"/>
              </w:rPr>
            </w:r>
            <w:r/>
          </w:p>
        </w:tc>
      </w:tr>
      <w:tr>
        <w:trPr>
          <w:gridAfter w:val="1"/>
          <w:trHeight w:val="559"/>
        </w:trPr>
        <w:tc>
          <w:tcPr>
            <w:tcW w:w="572" w:type="dxa"/>
            <w:vAlign w:val="top"/>
            <w:textDirection w:val="lrTb"/>
            <w:noWrap w:val="false"/>
          </w:tcPr>
          <w:p>
            <w:pPr>
              <w:pStyle w:val="879"/>
              <w:ind w:left="186"/>
              <w:spacing w:before="267" w:line="240" w:lineRule="exact"/>
              <w:rPr>
                <w:rFonts w:ascii="宋体" w:hAnsi="宋体" w:eastAsia="宋体" w:cs="宋体"/>
                <w:sz w:val="18"/>
                <w:szCs w:val="18"/>
                <w:highlight w:val="none"/>
              </w:rPr>
            </w:pPr>
            <w:r>
              <w:rPr>
                <w:rFonts w:ascii="宋体" w:hAnsi="宋体" w:eastAsia="宋体" w:cs="宋体"/>
                <w:spacing w:val="-2"/>
                <w:position w:val="1"/>
                <w:sz w:val="18"/>
                <w:szCs w:val="18"/>
                <w:highlight w:val="none"/>
              </w:rPr>
              <w:t xml:space="preserve">分期（段）验收</w:t>
            </w:r>
            <w:r>
              <w:rPr>
                <w:highlight w:val="none"/>
              </w:rPr>
            </w:r>
            <w:r/>
          </w:p>
        </w:tc>
        <w:tc>
          <w:tcPr>
            <w:tcW w:w="603" w:type="dxa"/>
            <w:vAlign w:val="top"/>
            <w:textDirection w:val="lrTb"/>
            <w:noWrap w:val="false"/>
          </w:tcPr>
          <w:p>
            <w:pPr>
              <w:pStyle w:val="879"/>
              <w:ind w:left="367"/>
              <w:spacing w:before="267" w:line="240" w:lineRule="exact"/>
              <w:rPr>
                <w:rFonts w:ascii="宋体" w:hAnsi="宋体" w:eastAsia="宋体" w:cs="宋体"/>
                <w:sz w:val="18"/>
                <w:szCs w:val="18"/>
                <w:highlight w:val="none"/>
              </w:rPr>
            </w:pPr>
            <w:r>
              <w:rPr>
                <w:rFonts w:ascii="宋体" w:hAnsi="宋体" w:eastAsia="宋体" w:cs="宋体"/>
                <w:spacing w:val="-6"/>
                <w:position w:val="1"/>
                <w:sz w:val="18"/>
                <w:szCs w:val="18"/>
                <w:highlight w:val="none"/>
              </w:rPr>
              <w:t xml:space="preserve">是□</w:t>
            </w:r>
            <w:r>
              <w:rPr>
                <w:rFonts w:ascii="宋体" w:hAnsi="宋体" w:eastAsia="宋体" w:cs="宋体"/>
                <w:spacing w:val="4"/>
                <w:position w:val="1"/>
                <w:sz w:val="18"/>
                <w:szCs w:val="18"/>
                <w:highlight w:val="none"/>
              </w:rPr>
              <w:t xml:space="preserve">   </w:t>
            </w:r>
            <w:r>
              <w:rPr>
                <w:rFonts w:ascii="宋体" w:hAnsi="宋体" w:eastAsia="宋体" w:cs="宋体"/>
                <w:spacing w:val="-6"/>
                <w:position w:val="1"/>
                <w:sz w:val="18"/>
                <w:szCs w:val="18"/>
                <w:highlight w:val="none"/>
              </w:rPr>
              <w:t xml:space="preserve">否□</w:t>
            </w:r>
            <w:r>
              <w:rPr>
                <w:highlight w:val="none"/>
              </w:rPr>
            </w:r>
            <w:r/>
          </w:p>
        </w:tc>
        <w:tc>
          <w:tcPr>
            <w:tcW w:w="640" w:type="dxa"/>
            <w:vAlign w:val="top"/>
            <w:textDirection w:val="lrTb"/>
            <w:noWrap w:val="false"/>
          </w:tcPr>
          <w:p>
            <w:pPr>
              <w:pStyle w:val="879"/>
              <w:ind w:left="284"/>
              <w:spacing w:before="267" w:line="240" w:lineRule="exact"/>
              <w:rPr>
                <w:rFonts w:ascii="宋体" w:hAnsi="宋体" w:eastAsia="宋体" w:cs="宋体"/>
                <w:sz w:val="18"/>
                <w:szCs w:val="18"/>
                <w:highlight w:val="none"/>
              </w:rPr>
            </w:pPr>
            <w:r>
              <w:rPr>
                <w:rFonts w:ascii="宋体" w:hAnsi="宋体" w:eastAsia="宋体" w:cs="宋体"/>
                <w:spacing w:val="-2"/>
                <w:position w:val="1"/>
                <w:sz w:val="18"/>
                <w:szCs w:val="18"/>
                <w:highlight w:val="none"/>
              </w:rPr>
              <w:t xml:space="preserve">分期（段）情况</w:t>
            </w:r>
            <w:r>
              <w:rPr>
                <w:highlight w:val="none"/>
              </w:rPr>
            </w:r>
            <w:r/>
          </w:p>
        </w:tc>
        <w:tc>
          <w:tcPr>
            <w:gridSpan w:val="5"/>
            <w:tcW w:w="8919" w:type="dxa"/>
            <w:vAlign w:val="top"/>
            <w:textDirection w:val="lrTb"/>
            <w:noWrap w:val="false"/>
          </w:tcPr>
          <w:p>
            <w:pPr>
              <w:pStyle w:val="879"/>
              <w:ind w:left="2804"/>
              <w:spacing w:before="267" w:line="240" w:lineRule="exact"/>
              <w:rPr>
                <w:rFonts w:ascii="宋体" w:hAnsi="宋体" w:eastAsia="宋体" w:cs="宋体"/>
                <w:sz w:val="18"/>
                <w:szCs w:val="18"/>
                <w:highlight w:val="none"/>
              </w:rPr>
            </w:pPr>
            <w:r>
              <w:rPr>
                <w:rFonts w:ascii="宋体" w:hAnsi="宋体" w:eastAsia="宋体" w:cs="宋体"/>
                <w:spacing w:val="-1"/>
                <w:position w:val="1"/>
                <w:sz w:val="18"/>
                <w:szCs w:val="18"/>
                <w:highlight w:val="none"/>
              </w:rPr>
              <w:t xml:space="preserve">共分   期（段</w:t>
            </w:r>
            <w:r>
              <w:rPr>
                <w:rFonts w:ascii="宋体" w:hAnsi="宋体" w:eastAsia="宋体" w:cs="宋体"/>
                <w:spacing w:val="6"/>
                <w:position w:val="1"/>
                <w:sz w:val="18"/>
                <w:szCs w:val="18"/>
                <w:highlight w:val="none"/>
              </w:rPr>
              <w:t xml:space="preserve">），</w:t>
            </w:r>
            <w:r>
              <w:rPr>
                <w:rFonts w:ascii="宋体" w:hAnsi="宋体" w:eastAsia="宋体" w:cs="宋体"/>
                <w:spacing w:val="-1"/>
                <w:position w:val="1"/>
                <w:sz w:val="18"/>
                <w:szCs w:val="18"/>
                <w:highlight w:val="none"/>
              </w:rPr>
              <w:t xml:space="preserve">此为第   期（段）验收</w:t>
            </w:r>
            <w:r>
              <w:rPr>
                <w:highlight w:val="none"/>
              </w:rPr>
            </w:r>
            <w:r/>
          </w:p>
        </w:tc>
      </w:tr>
      <w:tr>
        <w:trPr>
          <w:gridAfter w:val="1"/>
          <w:trHeight w:val="1679"/>
        </w:trPr>
        <w:tc>
          <w:tcPr>
            <w:tcW w:w="572" w:type="dxa"/>
            <w:vAlign w:val="top"/>
            <w:textDirection w:val="lrTb"/>
            <w:noWrap w:val="false"/>
          </w:tcPr>
          <w:p>
            <w:pPr>
              <w:pStyle w:val="1244"/>
              <w:spacing w:line="264" w:lineRule="auto"/>
              <w:rPr>
                <w:highlight w:val="none"/>
              </w:rPr>
            </w:pPr>
            <w:r>
              <w:rPr>
                <w:highlight w:val="none"/>
              </w:rPr>
            </w:r>
            <w:r>
              <w:rPr>
                <w:highlight w:val="none"/>
              </w:rPr>
            </w:r>
            <w:r/>
          </w:p>
          <w:p>
            <w:pPr>
              <w:pStyle w:val="1244"/>
              <w:spacing w:line="264" w:lineRule="auto"/>
              <w:rPr>
                <w:highlight w:val="none"/>
              </w:rPr>
            </w:pPr>
            <w:r>
              <w:rPr>
                <w:highlight w:val="none"/>
              </w:rPr>
            </w:r>
            <w:r>
              <w:rPr>
                <w:highlight w:val="none"/>
              </w:rPr>
            </w:r>
            <w:r/>
          </w:p>
          <w:p>
            <w:pPr>
              <w:pStyle w:val="1244"/>
              <w:spacing w:line="265" w:lineRule="auto"/>
              <w:rPr>
                <w:highlight w:val="none"/>
              </w:rPr>
            </w:pPr>
            <w:r>
              <w:rPr>
                <w:highlight w:val="none"/>
              </w:rPr>
            </w:r>
            <w:r>
              <w:rPr>
                <w:highlight w:val="none"/>
              </w:rPr>
            </w:r>
            <w:r/>
          </w:p>
          <w:p>
            <w:pPr>
              <w:pStyle w:val="879"/>
              <w:ind w:left="454"/>
              <w:spacing w:before="5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验收时间</w:t>
            </w:r>
            <w:r>
              <w:rPr>
                <w:highlight w:val="none"/>
              </w:rPr>
            </w:r>
            <w:r/>
          </w:p>
        </w:tc>
        <w:tc>
          <w:tcPr>
            <w:tcW w:w="603" w:type="dxa"/>
            <w:vAlign w:val="top"/>
            <w:textDirection w:val="lrTb"/>
            <w:noWrap w:val="false"/>
          </w:tcPr>
          <w:p>
            <w:pPr>
              <w:pStyle w:val="1244"/>
              <w:rPr>
                <w:highlight w:val="none"/>
              </w:rPr>
            </w:pPr>
            <w:r>
              <w:rPr>
                <w:highlight w:val="none"/>
              </w:rPr>
            </w:r>
            <w:r>
              <w:rPr>
                <w:highlight w:val="none"/>
              </w:rPr>
            </w:r>
            <w:r/>
          </w:p>
        </w:tc>
        <w:tc>
          <w:tcPr>
            <w:tcW w:w="640" w:type="dxa"/>
            <w:vAlign w:val="top"/>
            <w:textDirection w:val="lrTb"/>
            <w:noWrap w:val="false"/>
          </w:tcPr>
          <w:p>
            <w:pPr>
              <w:pStyle w:val="1244"/>
              <w:spacing w:line="264" w:lineRule="auto"/>
              <w:rPr>
                <w:highlight w:val="none"/>
              </w:rPr>
            </w:pPr>
            <w:r>
              <w:rPr>
                <w:highlight w:val="none"/>
              </w:rPr>
            </w:r>
            <w:r>
              <w:rPr>
                <w:highlight w:val="none"/>
              </w:rPr>
            </w:r>
            <w:r/>
          </w:p>
          <w:p>
            <w:pPr>
              <w:pStyle w:val="1244"/>
              <w:spacing w:line="264" w:lineRule="auto"/>
              <w:rPr>
                <w:highlight w:val="none"/>
              </w:rPr>
            </w:pPr>
            <w:r>
              <w:rPr>
                <w:highlight w:val="none"/>
              </w:rPr>
            </w:r>
            <w:r>
              <w:rPr>
                <w:highlight w:val="none"/>
              </w:rPr>
            </w:r>
            <w:r/>
          </w:p>
          <w:p>
            <w:pPr>
              <w:pStyle w:val="1244"/>
              <w:spacing w:line="265" w:lineRule="auto"/>
              <w:rPr>
                <w:highlight w:val="none"/>
              </w:rPr>
            </w:pPr>
            <w:r>
              <w:rPr>
                <w:highlight w:val="none"/>
              </w:rPr>
            </w:r>
            <w:r>
              <w:rPr>
                <w:highlight w:val="none"/>
              </w:rPr>
            </w:r>
            <w:r/>
          </w:p>
          <w:p>
            <w:pPr>
              <w:pStyle w:val="879"/>
              <w:ind w:left="550"/>
              <w:spacing w:before="5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验收地点</w:t>
            </w:r>
            <w:r>
              <w:rPr>
                <w:highlight w:val="none"/>
              </w:rPr>
            </w:r>
            <w:r/>
          </w:p>
        </w:tc>
        <w:tc>
          <w:tcPr>
            <w:gridSpan w:val="2"/>
            <w:tcW w:w="2446" w:type="dxa"/>
            <w:vAlign w:val="top"/>
            <w:textDirection w:val="lrTb"/>
            <w:noWrap w:val="false"/>
          </w:tcPr>
          <w:p>
            <w:pPr>
              <w:pStyle w:val="1244"/>
              <w:rPr>
                <w:highlight w:val="none"/>
              </w:rPr>
            </w:pPr>
            <w:r>
              <w:rPr>
                <w:highlight w:val="none"/>
              </w:rPr>
            </w:r>
            <w:r>
              <w:rPr>
                <w:highlight w:val="none"/>
              </w:rPr>
            </w:r>
            <w:r/>
          </w:p>
        </w:tc>
        <w:tc>
          <w:tcPr>
            <w:gridSpan w:val="2"/>
            <w:tcW w:w="3940" w:type="dxa"/>
            <w:vAlign w:val="top"/>
            <w:textDirection w:val="lrTb"/>
            <w:noWrap w:val="false"/>
          </w:tcPr>
          <w:p>
            <w:pPr>
              <w:pStyle w:val="1244"/>
              <w:spacing w:line="264" w:lineRule="auto"/>
              <w:rPr>
                <w:highlight w:val="none"/>
              </w:rPr>
            </w:pPr>
            <w:r>
              <w:rPr>
                <w:highlight w:val="none"/>
              </w:rPr>
            </w:r>
            <w:r>
              <w:rPr>
                <w:highlight w:val="none"/>
              </w:rPr>
            </w:r>
            <w:r/>
          </w:p>
          <w:p>
            <w:pPr>
              <w:pStyle w:val="1244"/>
              <w:spacing w:line="264" w:lineRule="auto"/>
              <w:rPr>
                <w:highlight w:val="none"/>
              </w:rPr>
            </w:pPr>
            <w:r>
              <w:rPr>
                <w:highlight w:val="none"/>
              </w:rPr>
            </w:r>
            <w:r>
              <w:rPr>
                <w:highlight w:val="none"/>
              </w:rPr>
            </w:r>
            <w:r/>
          </w:p>
          <w:p>
            <w:pPr>
              <w:pStyle w:val="1244"/>
              <w:spacing w:line="265" w:lineRule="auto"/>
              <w:rPr>
                <w:highlight w:val="none"/>
              </w:rPr>
            </w:pPr>
            <w:r>
              <w:rPr>
                <w:highlight w:val="none"/>
              </w:rPr>
            </w:r>
            <w:r>
              <w:rPr>
                <w:highlight w:val="none"/>
              </w:rPr>
            </w:r>
            <w:r/>
          </w:p>
          <w:p>
            <w:pPr>
              <w:pStyle w:val="879"/>
              <w:ind w:left="1459"/>
              <w:spacing w:before="59"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验收组织形式</w:t>
            </w:r>
            <w:r>
              <w:rPr>
                <w:highlight w:val="none"/>
              </w:rPr>
            </w:r>
            <w:r/>
          </w:p>
        </w:tc>
        <w:tc>
          <w:tcPr>
            <w:tcW w:w="903" w:type="dxa"/>
            <w:vAlign w:val="top"/>
            <w:textDirection w:val="lrTb"/>
            <w:noWrap w:val="false"/>
          </w:tcPr>
          <w:p>
            <w:pPr>
              <w:pStyle w:val="879"/>
              <w:ind w:left="673"/>
              <w:spacing w:before="267" w:line="239" w:lineRule="exact"/>
              <w:rPr>
                <w:rFonts w:ascii="宋体" w:hAnsi="宋体" w:eastAsia="宋体" w:cs="宋体"/>
                <w:sz w:val="18"/>
                <w:szCs w:val="18"/>
                <w:highlight w:val="none"/>
              </w:rPr>
            </w:pPr>
            <w:r>
              <w:rPr>
                <w:rFonts w:ascii="宋体" w:hAnsi="宋体" w:eastAsia="宋体" w:cs="宋体"/>
                <w:spacing w:val="-4"/>
                <w:position w:val="1"/>
                <w:sz w:val="18"/>
                <w:szCs w:val="18"/>
                <w:highlight w:val="none"/>
              </w:rPr>
              <w:t xml:space="preserve">□自行简易验收</w:t>
            </w:r>
            <w:r>
              <w:rPr>
                <w:highlight w:val="none"/>
              </w:rPr>
            </w:r>
            <w:r/>
          </w:p>
          <w:p>
            <w:pPr>
              <w:pStyle w:val="1244"/>
              <w:spacing w:line="260" w:lineRule="auto"/>
              <w:rPr>
                <w:highlight w:val="none"/>
              </w:rPr>
            </w:pPr>
            <w:r>
              <w:rPr>
                <w:highlight w:val="none"/>
              </w:rPr>
            </w:r>
            <w:r>
              <w:rPr>
                <w:highlight w:val="none"/>
              </w:rPr>
            </w:r>
            <w:r/>
          </w:p>
          <w:p>
            <w:pPr>
              <w:pStyle w:val="879"/>
              <w:ind w:left="673"/>
              <w:spacing w:before="58" w:line="240" w:lineRule="exact"/>
              <w:rPr>
                <w:rFonts w:ascii="宋体" w:hAnsi="宋体" w:eastAsia="宋体" w:cs="宋体"/>
                <w:sz w:val="18"/>
                <w:szCs w:val="18"/>
                <w:highlight w:val="none"/>
              </w:rPr>
            </w:pPr>
            <w:r>
              <w:rPr>
                <w:rFonts w:ascii="宋体" w:hAnsi="宋体" w:eastAsia="宋体" w:cs="宋体"/>
                <w:spacing w:val="-4"/>
                <w:position w:val="1"/>
                <w:sz w:val="18"/>
                <w:szCs w:val="18"/>
                <w:highlight w:val="none"/>
              </w:rPr>
              <w:t xml:space="preserve">□验收小组验收</w:t>
            </w:r>
            <w:r>
              <w:rPr>
                <w:highlight w:val="none"/>
              </w:rPr>
            </w:r>
            <w:r/>
          </w:p>
          <w:p>
            <w:pPr>
              <w:pStyle w:val="1244"/>
              <w:spacing w:line="262" w:lineRule="auto"/>
              <w:rPr>
                <w:highlight w:val="none"/>
              </w:rPr>
            </w:pPr>
            <w:r>
              <w:rPr>
                <w:highlight w:val="none"/>
              </w:rPr>
            </w:r>
            <w:r>
              <w:rPr>
                <w:highlight w:val="none"/>
              </w:rPr>
            </w:r>
            <w:r/>
          </w:p>
          <w:p>
            <w:pPr>
              <w:pStyle w:val="879"/>
              <w:ind w:left="582"/>
              <w:spacing w:before="58"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□采购代理机构验收</w:t>
            </w:r>
            <w:r>
              <w:rPr>
                <w:highlight w:val="none"/>
              </w:rPr>
            </w:r>
            <w:r/>
          </w:p>
        </w:tc>
      </w:tr>
      <w:tr>
        <w:trPr>
          <w:gridAfter w:val="1"/>
          <w:trHeight w:val="560"/>
        </w:trPr>
        <w:tc>
          <w:tcPr>
            <w:tcW w:w="572" w:type="dxa"/>
            <w:vAlign w:val="top"/>
            <w:vMerge w:val="restart"/>
            <w:textDirection w:val="lrTb"/>
            <w:noWrap w:val="false"/>
          </w:tcPr>
          <w:p>
            <w:pPr>
              <w:pStyle w:val="1244"/>
              <w:spacing w:line="265" w:lineRule="auto"/>
              <w:rPr>
                <w:highlight w:val="none"/>
              </w:rPr>
            </w:pPr>
            <w:r>
              <w:rPr>
                <w:highlight w:val="none"/>
              </w:rPr>
            </w:r>
            <w:r>
              <w:rPr>
                <w:highlight w:val="none"/>
              </w:rPr>
            </w:r>
            <w:r/>
          </w:p>
          <w:p>
            <w:pPr>
              <w:pStyle w:val="1244"/>
              <w:spacing w:line="265" w:lineRule="auto"/>
              <w:rPr>
                <w:highlight w:val="none"/>
              </w:rPr>
            </w:pPr>
            <w:r>
              <w:rPr>
                <w:highlight w:val="none"/>
              </w:rPr>
            </w:r>
            <w:r>
              <w:rPr>
                <w:highlight w:val="none"/>
              </w:rPr>
            </w:r>
            <w:r/>
          </w:p>
          <w:p>
            <w:pPr>
              <w:pStyle w:val="1244"/>
              <w:spacing w:line="266" w:lineRule="auto"/>
              <w:rPr>
                <w:highlight w:val="none"/>
              </w:rPr>
            </w:pPr>
            <w:r>
              <w:rPr>
                <w:highlight w:val="none"/>
              </w:rPr>
            </w:r>
            <w:r>
              <w:rPr>
                <w:highlight w:val="none"/>
              </w:rPr>
            </w:r>
            <w:r/>
          </w:p>
          <w:p>
            <w:pPr>
              <w:pStyle w:val="879"/>
              <w:ind w:left="454"/>
              <w:spacing w:before="5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验收内容</w:t>
            </w:r>
            <w:r>
              <w:rPr>
                <w:highlight w:val="none"/>
              </w:rPr>
            </w:r>
            <w:r/>
          </w:p>
        </w:tc>
        <w:tc>
          <w:tcPr>
            <w:tcW w:w="603" w:type="dxa"/>
            <w:vAlign w:val="top"/>
            <w:textDirection w:val="lrTb"/>
            <w:noWrap w:val="false"/>
          </w:tcPr>
          <w:p>
            <w:pPr>
              <w:pStyle w:val="879"/>
              <w:ind w:left="498"/>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服务质量</w:t>
            </w:r>
            <w:r>
              <w:rPr>
                <w:highlight w:val="none"/>
              </w:rPr>
            </w:r>
            <w:r/>
          </w:p>
        </w:tc>
        <w:tc>
          <w:tcPr>
            <w:tcW w:w="640" w:type="dxa"/>
            <w:vAlign w:val="top"/>
            <w:textDirection w:val="lrTb"/>
            <w:noWrap w:val="false"/>
          </w:tcPr>
          <w:p>
            <w:pPr>
              <w:pStyle w:val="879"/>
              <w:ind w:left="551"/>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服务进度</w:t>
            </w:r>
            <w:r>
              <w:rPr>
                <w:highlight w:val="none"/>
              </w:rPr>
            </w:r>
            <w:r/>
          </w:p>
        </w:tc>
        <w:tc>
          <w:tcPr>
            <w:gridSpan w:val="2"/>
            <w:tcW w:w="2446" w:type="dxa"/>
            <w:vAlign w:val="top"/>
            <w:textDirection w:val="lrTb"/>
            <w:noWrap w:val="false"/>
          </w:tcPr>
          <w:p>
            <w:pPr>
              <w:pStyle w:val="879"/>
              <w:ind w:left="387"/>
              <w:spacing w:before="298" w:line="207" w:lineRule="auto"/>
              <w:rPr>
                <w:rFonts w:ascii="宋体" w:hAnsi="宋体" w:eastAsia="宋体" w:cs="宋体"/>
                <w:sz w:val="18"/>
                <w:szCs w:val="18"/>
                <w:highlight w:val="none"/>
              </w:rPr>
            </w:pPr>
            <w:r>
              <w:rPr>
                <w:rFonts w:ascii="宋体" w:hAnsi="宋体" w:eastAsia="宋体" w:cs="宋体"/>
                <w:spacing w:val="-1"/>
                <w:sz w:val="18"/>
                <w:szCs w:val="18"/>
                <w:highlight w:val="none"/>
              </w:rPr>
              <w:t xml:space="preserve">人员、设备 配备情况</w:t>
            </w:r>
            <w:r>
              <w:rPr>
                <w:highlight w:val="none"/>
              </w:rPr>
            </w:r>
            <w:r/>
          </w:p>
        </w:tc>
        <w:tc>
          <w:tcPr>
            <w:tcW w:w="601" w:type="dxa"/>
            <w:vAlign w:val="top"/>
            <w:textDirection w:val="lrTb"/>
            <w:noWrap w:val="false"/>
          </w:tcPr>
          <w:p>
            <w:pPr>
              <w:pStyle w:val="879"/>
              <w:ind w:left="231"/>
              <w:spacing w:before="297" w:line="209"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行业、安全标准</w:t>
            </w:r>
            <w:r>
              <w:rPr>
                <w:highlight w:val="none"/>
              </w:rPr>
            </w:r>
            <w:r/>
          </w:p>
        </w:tc>
        <w:tc>
          <w:tcPr>
            <w:tcW w:w="805" w:type="dxa"/>
            <w:vAlign w:val="top"/>
            <w:textDirection w:val="lrTb"/>
            <w:noWrap w:val="false"/>
          </w:tcPr>
          <w:p>
            <w:pPr>
              <w:pStyle w:val="879"/>
              <w:ind w:left="340"/>
              <w:spacing w:before="298"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项目需求、服务承诺</w:t>
            </w:r>
            <w:r>
              <w:rPr>
                <w:highlight w:val="none"/>
              </w:rPr>
            </w:r>
            <w:r/>
          </w:p>
        </w:tc>
        <w:tc>
          <w:tcPr>
            <w:tcW w:w="903" w:type="dxa"/>
            <w:vAlign w:val="top"/>
            <w:textDirection w:val="lrTb"/>
            <w:noWrap w:val="false"/>
          </w:tcPr>
          <w:p>
            <w:pPr>
              <w:pStyle w:val="879"/>
              <w:ind w:left="159"/>
              <w:spacing w:before="299" w:line="208" w:lineRule="auto"/>
              <w:rPr>
                <w:rFonts w:ascii="宋体" w:hAnsi="宋体" w:eastAsia="宋体" w:cs="宋体"/>
                <w:sz w:val="18"/>
                <w:szCs w:val="18"/>
                <w:highlight w:val="none"/>
              </w:rPr>
            </w:pPr>
            <w:r>
              <w:rPr>
                <w:rFonts w:ascii="宋体" w:hAnsi="宋体" w:eastAsia="宋体" w:cs="宋体"/>
                <w:spacing w:val="-1"/>
                <w:sz w:val="18"/>
                <w:szCs w:val="18"/>
                <w:highlight w:val="none"/>
              </w:rPr>
              <w:t xml:space="preserve">合同履约时间、 地点、方式</w:t>
            </w:r>
            <w:r>
              <w:rPr>
                <w:highlight w:val="none"/>
              </w:rPr>
            </w:r>
            <w:r/>
          </w:p>
        </w:tc>
      </w:tr>
      <w:tr>
        <w:trPr>
          <w:gridAfter w:val="1"/>
          <w:trHeight w:val="1119"/>
        </w:trPr>
        <w:tc>
          <w:tcPr>
            <w:tcW w:w="572" w:type="dxa"/>
            <w:vAlign w:val="top"/>
            <w:vMerge w:val="continue"/>
            <w:textDirection w:val="lrTb"/>
            <w:noWrap w:val="false"/>
          </w:tcPr>
          <w:p>
            <w:pPr>
              <w:pStyle w:val="1244"/>
              <w:rPr>
                <w:highlight w:val="none"/>
              </w:rPr>
            </w:pPr>
            <w:r>
              <w:rPr>
                <w:highlight w:val="none"/>
              </w:rPr>
            </w:r>
            <w:r/>
          </w:p>
        </w:tc>
        <w:tc>
          <w:tcPr>
            <w:tcW w:w="603" w:type="dxa"/>
            <w:vAlign w:val="top"/>
            <w:textDirection w:val="lrTb"/>
            <w:noWrap w:val="false"/>
          </w:tcPr>
          <w:p>
            <w:pPr>
              <w:pStyle w:val="879"/>
              <w:ind w:left="499"/>
              <w:spacing w:before="270" w:line="239" w:lineRule="exact"/>
              <w:rPr>
                <w:rFonts w:ascii="宋体" w:hAnsi="宋体" w:eastAsia="宋体" w:cs="宋体"/>
                <w:sz w:val="18"/>
                <w:szCs w:val="18"/>
                <w:highlight w:val="none"/>
              </w:rPr>
            </w:pPr>
            <w:r>
              <w:rPr>
                <w:rFonts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ascii="宋体" w:hAnsi="宋体" w:eastAsia="宋体" w:cs="宋体"/>
                <w:spacing w:val="-5"/>
                <w:position w:val="1"/>
                <w:sz w:val="18"/>
                <w:szCs w:val="18"/>
                <w:highlight w:val="none"/>
              </w:rPr>
              <w:t xml:space="preserve">格□</w:t>
            </w:r>
            <w:r>
              <w:rPr>
                <w:highlight w:val="none"/>
              </w:rPr>
            </w:r>
            <w:r/>
          </w:p>
          <w:p>
            <w:pPr>
              <w:pStyle w:val="1244"/>
              <w:spacing w:line="259" w:lineRule="auto"/>
              <w:rPr>
                <w:highlight w:val="none"/>
              </w:rPr>
            </w:pPr>
            <w:r>
              <w:rPr>
                <w:highlight w:val="none"/>
              </w:rPr>
            </w:r>
            <w:r>
              <w:rPr>
                <w:highlight w:val="none"/>
              </w:rPr>
            </w:r>
            <w:r/>
          </w:p>
          <w:p>
            <w:pPr>
              <w:pStyle w:val="879"/>
              <w:ind w:left="501"/>
              <w:spacing w:before="59"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不合格□</w:t>
            </w:r>
            <w:r>
              <w:rPr>
                <w:highlight w:val="none"/>
              </w:rPr>
            </w:r>
            <w:r/>
          </w:p>
        </w:tc>
        <w:tc>
          <w:tcPr>
            <w:tcW w:w="640" w:type="dxa"/>
            <w:vAlign w:val="top"/>
            <w:textDirection w:val="lrTb"/>
            <w:noWrap w:val="false"/>
          </w:tcPr>
          <w:p>
            <w:pPr>
              <w:pStyle w:val="879"/>
              <w:ind w:left="552"/>
              <w:spacing w:before="270" w:line="239" w:lineRule="exact"/>
              <w:rPr>
                <w:rFonts w:ascii="宋体" w:hAnsi="宋体" w:eastAsia="宋体" w:cs="宋体"/>
                <w:sz w:val="18"/>
                <w:szCs w:val="18"/>
                <w:highlight w:val="none"/>
              </w:rPr>
            </w:pPr>
            <w:r>
              <w:rPr>
                <w:rFonts w:ascii="宋体" w:hAnsi="宋体" w:eastAsia="宋体" w:cs="宋体"/>
                <w:spacing w:val="-8"/>
                <w:position w:val="1"/>
                <w:sz w:val="18"/>
                <w:szCs w:val="18"/>
                <w:highlight w:val="none"/>
              </w:rPr>
              <w:t xml:space="preserve">按</w:t>
            </w:r>
            <w:r>
              <w:rPr>
                <w:rFonts w:ascii="宋体" w:hAnsi="宋体" w:eastAsia="宋体" w:cs="宋体"/>
                <w:spacing w:val="7"/>
                <w:position w:val="1"/>
                <w:sz w:val="18"/>
                <w:szCs w:val="18"/>
                <w:highlight w:val="none"/>
              </w:rPr>
              <w:t xml:space="preserve">  </w:t>
            </w:r>
            <w:r>
              <w:rPr>
                <w:rFonts w:ascii="宋体" w:hAnsi="宋体" w:eastAsia="宋体" w:cs="宋体"/>
                <w:spacing w:val="-8"/>
                <w:position w:val="1"/>
                <w:sz w:val="18"/>
                <w:szCs w:val="18"/>
                <w:highlight w:val="none"/>
              </w:rPr>
              <w:t xml:space="preserve">时□</w:t>
            </w:r>
            <w:r>
              <w:rPr>
                <w:highlight w:val="none"/>
              </w:rPr>
            </w:r>
            <w:r/>
          </w:p>
          <w:p>
            <w:pPr>
              <w:pStyle w:val="1244"/>
              <w:spacing w:line="259" w:lineRule="auto"/>
              <w:rPr>
                <w:highlight w:val="none"/>
              </w:rPr>
            </w:pPr>
            <w:r>
              <w:rPr>
                <w:highlight w:val="none"/>
              </w:rPr>
            </w:r>
            <w:r>
              <w:rPr>
                <w:highlight w:val="none"/>
              </w:rPr>
            </w:r>
            <w:r/>
          </w:p>
          <w:p>
            <w:pPr>
              <w:pStyle w:val="879"/>
              <w:ind w:left="553"/>
              <w:spacing w:before="59"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不按时□</w:t>
            </w:r>
            <w:r>
              <w:rPr>
                <w:highlight w:val="none"/>
              </w:rPr>
            </w:r>
            <w:r/>
          </w:p>
        </w:tc>
        <w:tc>
          <w:tcPr>
            <w:gridSpan w:val="2"/>
            <w:tcW w:w="2446" w:type="dxa"/>
            <w:vAlign w:val="top"/>
            <w:textDirection w:val="lrTb"/>
            <w:noWrap w:val="false"/>
          </w:tcPr>
          <w:p>
            <w:pPr>
              <w:pStyle w:val="879"/>
              <w:ind w:left="883"/>
              <w:spacing w:before="270" w:line="239" w:lineRule="exact"/>
              <w:rPr>
                <w:rFonts w:ascii="宋体" w:hAnsi="宋体" w:eastAsia="宋体" w:cs="宋体"/>
                <w:sz w:val="18"/>
                <w:szCs w:val="18"/>
                <w:highlight w:val="none"/>
              </w:rPr>
            </w:pPr>
            <w:r>
              <w:rPr>
                <w:rFonts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ascii="宋体" w:hAnsi="宋体" w:eastAsia="宋体" w:cs="宋体"/>
                <w:spacing w:val="-5"/>
                <w:position w:val="1"/>
                <w:sz w:val="18"/>
                <w:szCs w:val="18"/>
                <w:highlight w:val="none"/>
              </w:rPr>
              <w:t xml:space="preserve">格□</w:t>
            </w:r>
            <w:r>
              <w:rPr>
                <w:highlight w:val="none"/>
              </w:rPr>
            </w:r>
            <w:r/>
          </w:p>
          <w:p>
            <w:pPr>
              <w:pStyle w:val="1244"/>
              <w:spacing w:line="259" w:lineRule="auto"/>
              <w:rPr>
                <w:highlight w:val="none"/>
              </w:rPr>
            </w:pPr>
            <w:r>
              <w:rPr>
                <w:highlight w:val="none"/>
              </w:rPr>
            </w:r>
            <w:r>
              <w:rPr>
                <w:highlight w:val="none"/>
              </w:rPr>
            </w:r>
            <w:r/>
          </w:p>
          <w:p>
            <w:pPr>
              <w:pStyle w:val="879"/>
              <w:ind w:left="885"/>
              <w:spacing w:before="59"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不合格□</w:t>
            </w:r>
            <w:r>
              <w:rPr>
                <w:highlight w:val="none"/>
              </w:rPr>
            </w:r>
            <w:r/>
          </w:p>
        </w:tc>
        <w:tc>
          <w:tcPr>
            <w:tcW w:w="601" w:type="dxa"/>
            <w:vAlign w:val="top"/>
            <w:textDirection w:val="lrTb"/>
            <w:noWrap w:val="false"/>
          </w:tcPr>
          <w:p>
            <w:pPr>
              <w:pStyle w:val="879"/>
              <w:ind w:left="498"/>
              <w:spacing w:before="270" w:line="239" w:lineRule="exact"/>
              <w:rPr>
                <w:rFonts w:ascii="宋体" w:hAnsi="宋体" w:eastAsia="宋体" w:cs="宋体"/>
                <w:sz w:val="18"/>
                <w:szCs w:val="18"/>
                <w:highlight w:val="none"/>
              </w:rPr>
            </w:pPr>
            <w:r>
              <w:rPr>
                <w:rFonts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ascii="宋体" w:hAnsi="宋体" w:eastAsia="宋体" w:cs="宋体"/>
                <w:spacing w:val="-5"/>
                <w:position w:val="1"/>
                <w:sz w:val="18"/>
                <w:szCs w:val="18"/>
                <w:highlight w:val="none"/>
              </w:rPr>
              <w:t xml:space="preserve">格□</w:t>
            </w:r>
            <w:r>
              <w:rPr>
                <w:highlight w:val="none"/>
              </w:rPr>
            </w:r>
            <w:r/>
          </w:p>
          <w:p>
            <w:pPr>
              <w:pStyle w:val="1244"/>
              <w:spacing w:line="259" w:lineRule="auto"/>
              <w:rPr>
                <w:highlight w:val="none"/>
              </w:rPr>
            </w:pPr>
            <w:r>
              <w:rPr>
                <w:highlight w:val="none"/>
              </w:rPr>
            </w:r>
            <w:r>
              <w:rPr>
                <w:highlight w:val="none"/>
              </w:rPr>
            </w:r>
            <w:r/>
          </w:p>
          <w:p>
            <w:pPr>
              <w:pStyle w:val="879"/>
              <w:ind w:left="500"/>
              <w:spacing w:before="59"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不合格□</w:t>
            </w:r>
            <w:r>
              <w:rPr>
                <w:highlight w:val="none"/>
              </w:rPr>
            </w:r>
            <w:r/>
          </w:p>
        </w:tc>
        <w:tc>
          <w:tcPr>
            <w:tcW w:w="805" w:type="dxa"/>
            <w:vAlign w:val="top"/>
            <w:textDirection w:val="lrTb"/>
            <w:noWrap w:val="false"/>
          </w:tcPr>
          <w:p>
            <w:pPr>
              <w:pStyle w:val="879"/>
              <w:ind w:left="787"/>
              <w:spacing w:before="270" w:line="239" w:lineRule="exact"/>
              <w:rPr>
                <w:rFonts w:ascii="宋体" w:hAnsi="宋体" w:eastAsia="宋体" w:cs="宋体"/>
                <w:sz w:val="18"/>
                <w:szCs w:val="18"/>
                <w:highlight w:val="none"/>
              </w:rPr>
            </w:pPr>
            <w:r>
              <w:rPr>
                <w:rFonts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ascii="宋体" w:hAnsi="宋体" w:eastAsia="宋体" w:cs="宋体"/>
                <w:spacing w:val="-5"/>
                <w:position w:val="1"/>
                <w:sz w:val="18"/>
                <w:szCs w:val="18"/>
                <w:highlight w:val="none"/>
              </w:rPr>
              <w:t xml:space="preserve">格□</w:t>
            </w:r>
            <w:r>
              <w:rPr>
                <w:highlight w:val="none"/>
              </w:rPr>
            </w:r>
            <w:r/>
          </w:p>
          <w:p>
            <w:pPr>
              <w:pStyle w:val="1244"/>
              <w:spacing w:line="259" w:lineRule="auto"/>
              <w:rPr>
                <w:highlight w:val="none"/>
              </w:rPr>
            </w:pPr>
            <w:r>
              <w:rPr>
                <w:highlight w:val="none"/>
              </w:rPr>
            </w:r>
            <w:r>
              <w:rPr>
                <w:highlight w:val="none"/>
              </w:rPr>
            </w:r>
            <w:r/>
          </w:p>
          <w:p>
            <w:pPr>
              <w:pStyle w:val="879"/>
              <w:ind w:left="789"/>
              <w:spacing w:before="59"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不合格□</w:t>
            </w:r>
            <w:r>
              <w:rPr>
                <w:highlight w:val="none"/>
              </w:rPr>
            </w:r>
            <w:r/>
          </w:p>
        </w:tc>
        <w:tc>
          <w:tcPr>
            <w:tcW w:w="903" w:type="dxa"/>
            <w:vAlign w:val="top"/>
            <w:textDirection w:val="lrTb"/>
            <w:noWrap w:val="false"/>
          </w:tcPr>
          <w:p>
            <w:pPr>
              <w:pStyle w:val="879"/>
              <w:ind w:left="924"/>
              <w:spacing w:before="270" w:line="239" w:lineRule="exact"/>
              <w:rPr>
                <w:rFonts w:ascii="宋体" w:hAnsi="宋体" w:eastAsia="宋体" w:cs="宋体"/>
                <w:sz w:val="18"/>
                <w:szCs w:val="18"/>
                <w:highlight w:val="none"/>
              </w:rPr>
            </w:pPr>
            <w:r>
              <w:rPr>
                <w:rFonts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ascii="宋体" w:hAnsi="宋体" w:eastAsia="宋体" w:cs="宋体"/>
                <w:spacing w:val="-5"/>
                <w:position w:val="1"/>
                <w:sz w:val="18"/>
                <w:szCs w:val="18"/>
                <w:highlight w:val="none"/>
              </w:rPr>
              <w:t xml:space="preserve">格□</w:t>
            </w:r>
            <w:r>
              <w:rPr>
                <w:highlight w:val="none"/>
              </w:rPr>
            </w:r>
            <w:r/>
          </w:p>
          <w:p>
            <w:pPr>
              <w:pStyle w:val="1244"/>
              <w:spacing w:line="259" w:lineRule="auto"/>
              <w:rPr>
                <w:highlight w:val="none"/>
              </w:rPr>
            </w:pPr>
            <w:r>
              <w:rPr>
                <w:highlight w:val="none"/>
              </w:rPr>
            </w:r>
            <w:r>
              <w:rPr>
                <w:highlight w:val="none"/>
              </w:rPr>
            </w:r>
            <w:r/>
          </w:p>
          <w:p>
            <w:pPr>
              <w:pStyle w:val="879"/>
              <w:ind w:left="926"/>
              <w:spacing w:before="59" w:line="239" w:lineRule="exact"/>
              <w:rPr>
                <w:rFonts w:ascii="宋体" w:hAnsi="宋体" w:eastAsia="宋体" w:cs="宋体"/>
                <w:sz w:val="18"/>
                <w:szCs w:val="18"/>
                <w:highlight w:val="none"/>
              </w:rPr>
            </w:pPr>
            <w:r>
              <w:rPr>
                <w:rFonts w:ascii="宋体" w:hAnsi="宋体" w:eastAsia="宋体" w:cs="宋体"/>
                <w:spacing w:val="-3"/>
                <w:position w:val="1"/>
                <w:sz w:val="18"/>
                <w:szCs w:val="18"/>
                <w:highlight w:val="none"/>
              </w:rPr>
              <w:t xml:space="preserve">不合格□</w:t>
            </w:r>
            <w:r>
              <w:rPr>
                <w:highlight w:val="none"/>
              </w:rPr>
            </w:r>
            <w:r/>
          </w:p>
        </w:tc>
      </w:tr>
      <w:tr>
        <w:trPr>
          <w:gridAfter w:val="1"/>
          <w:trHeight w:val="1119"/>
        </w:trPr>
        <w:tc>
          <w:tcPr>
            <w:tcW w:w="572" w:type="dxa"/>
            <w:vAlign w:val="top"/>
            <w:textDirection w:val="lrTb"/>
            <w:noWrap w:val="false"/>
          </w:tcPr>
          <w:p>
            <w:pPr>
              <w:pStyle w:val="879"/>
              <w:ind w:left="185"/>
              <w:spacing w:before="299"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专业检测机构情</w:t>
            </w:r>
            <w:r>
              <w:rPr>
                <w:highlight w:val="none"/>
              </w:rPr>
            </w:r>
            <w:r/>
          </w:p>
          <w:p>
            <w:pPr>
              <w:pStyle w:val="1244"/>
              <w:spacing w:line="298" w:lineRule="auto"/>
              <w:rPr>
                <w:highlight w:val="none"/>
              </w:rPr>
            </w:pPr>
            <w:r>
              <w:rPr>
                <w:highlight w:val="none"/>
              </w:rPr>
            </w:r>
            <w:r>
              <w:rPr>
                <w:highlight w:val="none"/>
              </w:rPr>
            </w:r>
            <w:r/>
          </w:p>
          <w:p>
            <w:pPr>
              <w:pStyle w:val="879"/>
              <w:ind w:left="545"/>
              <w:spacing w:before="59" w:line="207"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况说明</w:t>
            </w:r>
            <w:r>
              <w:rPr>
                <w:highlight w:val="none"/>
              </w:rPr>
            </w:r>
            <w:r/>
          </w:p>
        </w:tc>
        <w:tc>
          <w:tcPr>
            <w:gridSpan w:val="7"/>
            <w:tcW w:w="12402" w:type="dxa"/>
            <w:vAlign w:val="top"/>
            <w:textDirection w:val="lrTb"/>
            <w:noWrap w:val="false"/>
          </w:tcPr>
          <w:p>
            <w:pPr>
              <w:pStyle w:val="1244"/>
              <w:rPr>
                <w:highlight w:val="none"/>
              </w:rPr>
            </w:pPr>
            <w:r>
              <w:rPr>
                <w:highlight w:val="none"/>
              </w:rPr>
            </w:r>
            <w:r>
              <w:rPr>
                <w:highlight w:val="none"/>
              </w:rPr>
            </w:r>
            <w:r/>
          </w:p>
        </w:tc>
      </w:tr>
      <w:tr>
        <w:trPr>
          <w:gridAfter w:val="1"/>
          <w:trHeight w:val="1120"/>
        </w:trPr>
        <w:tc>
          <w:tcPr>
            <w:tcW w:w="572" w:type="dxa"/>
            <w:vAlign w:val="top"/>
            <w:textDirection w:val="lrTb"/>
            <w:noWrap w:val="false"/>
          </w:tcPr>
          <w:p>
            <w:pPr>
              <w:pStyle w:val="1244"/>
              <w:spacing w:line="241" w:lineRule="auto"/>
              <w:rPr>
                <w:highlight w:val="none"/>
              </w:rPr>
            </w:pPr>
            <w:r>
              <w:rPr>
                <w:highlight w:val="none"/>
              </w:rPr>
            </w:r>
            <w:r>
              <w:rPr>
                <w:highlight w:val="none"/>
              </w:rPr>
            </w:r>
            <w:r/>
          </w:p>
          <w:p>
            <w:pPr>
              <w:pStyle w:val="879"/>
              <w:ind w:left="454"/>
              <w:spacing w:before="5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存在问题</w:t>
            </w:r>
            <w:r>
              <w:rPr>
                <w:highlight w:val="none"/>
              </w:rPr>
            </w:r>
            <w:r/>
          </w:p>
          <w:p>
            <w:pPr>
              <w:pStyle w:val="1244"/>
              <w:spacing w:line="297" w:lineRule="auto"/>
              <w:rPr>
                <w:highlight w:val="none"/>
              </w:rPr>
            </w:pPr>
            <w:r>
              <w:rPr>
                <w:highlight w:val="none"/>
              </w:rPr>
            </w:r>
            <w:r>
              <w:rPr>
                <w:highlight w:val="none"/>
              </w:rPr>
            </w:r>
            <w:r/>
          </w:p>
          <w:p>
            <w:pPr>
              <w:pStyle w:val="879"/>
              <w:ind w:left="365"/>
              <w:spacing w:before="58"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和改进意见</w:t>
            </w:r>
            <w:r>
              <w:rPr>
                <w:highlight w:val="none"/>
              </w:rPr>
            </w:r>
            <w:r/>
          </w:p>
        </w:tc>
        <w:tc>
          <w:tcPr>
            <w:gridSpan w:val="7"/>
            <w:tcW w:w="12402" w:type="dxa"/>
            <w:vAlign w:val="top"/>
            <w:textDirection w:val="lrTb"/>
            <w:noWrap w:val="false"/>
          </w:tcPr>
          <w:p>
            <w:pPr>
              <w:pStyle w:val="1244"/>
              <w:rPr>
                <w:highlight w:val="none"/>
              </w:rPr>
            </w:pPr>
            <w:r>
              <w:rPr>
                <w:highlight w:val="none"/>
              </w:rPr>
            </w:r>
            <w:r>
              <w:rPr>
                <w:highlight w:val="none"/>
              </w:rPr>
            </w:r>
            <w:r/>
          </w:p>
        </w:tc>
      </w:tr>
      <w:tr>
        <w:trPr>
          <w:trHeight w:val="687"/>
        </w:trPr>
        <w:tc>
          <w:tcPr>
            <w:tcW w:w="572" w:type="dxa"/>
            <w:vAlign w:val="top"/>
            <w:textDirection w:val="lrTb"/>
            <w:noWrap w:val="false"/>
          </w:tcPr>
          <w:p>
            <w:pPr>
              <w:pStyle w:val="1244"/>
              <w:spacing w:line="301" w:lineRule="auto"/>
              <w:rPr>
                <w:highlight w:val="none"/>
              </w:rPr>
            </w:pPr>
            <w:r>
              <w:rPr>
                <w:highlight w:val="none"/>
              </w:rPr>
            </w:r>
            <w:r>
              <w:rPr>
                <w:highlight w:val="none"/>
              </w:rPr>
            </w:r>
            <w:r/>
          </w:p>
          <w:p>
            <w:pPr>
              <w:pStyle w:val="879"/>
              <w:ind w:left="457"/>
              <w:spacing w:before="58" w:line="207" w:lineRule="auto"/>
              <w:rPr>
                <w:rFonts w:ascii="宋体" w:hAnsi="宋体" w:eastAsia="宋体" w:cs="宋体"/>
                <w:sz w:val="18"/>
                <w:szCs w:val="18"/>
                <w:highlight w:val="none"/>
              </w:rPr>
            </w:pPr>
            <w:r>
              <w:rPr>
                <w:rFonts w:ascii="宋体" w:hAnsi="宋体" w:eastAsia="宋体" w:cs="宋体"/>
                <w:spacing w:val="-3"/>
                <w:sz w:val="18"/>
                <w:szCs w:val="18"/>
                <w:highlight w:val="none"/>
              </w:rPr>
              <w:t xml:space="preserve">最终结论</w:t>
            </w:r>
            <w:r>
              <w:rPr>
                <w:highlight w:val="none"/>
              </w:rPr>
            </w:r>
            <w:r/>
          </w:p>
        </w:tc>
        <w:tc>
          <w:tcPr>
            <w:gridSpan w:val="8"/>
            <w:tcW w:w="12408" w:type="dxa"/>
            <w:vAlign w:val="top"/>
            <w:textDirection w:val="lrTb"/>
            <w:noWrap w:val="false"/>
          </w:tcPr>
          <w:p>
            <w:pPr>
              <w:pStyle w:val="1244"/>
              <w:spacing w:line="271" w:lineRule="auto"/>
              <w:rPr>
                <w:highlight w:val="none"/>
              </w:rPr>
            </w:pPr>
            <w:r>
              <w:rPr>
                <w:highlight w:val="none"/>
              </w:rPr>
            </w:r>
            <w:r>
              <w:rPr>
                <w:highlight w:val="none"/>
              </w:rPr>
            </w:r>
            <w:r/>
          </w:p>
          <w:p>
            <w:pPr>
              <w:pStyle w:val="879"/>
              <w:ind w:left="4210"/>
              <w:spacing w:before="58" w:line="240" w:lineRule="exact"/>
              <w:rPr>
                <w:rFonts w:ascii="宋体" w:hAnsi="宋体" w:eastAsia="宋体" w:cs="宋体"/>
                <w:sz w:val="18"/>
                <w:szCs w:val="18"/>
                <w:highlight w:val="none"/>
              </w:rPr>
            </w:pPr>
            <w:r>
              <w:rPr>
                <w:rFonts w:ascii="宋体" w:hAnsi="宋体" w:eastAsia="宋体" w:cs="宋体"/>
                <w:spacing w:val="-2"/>
                <w:position w:val="1"/>
                <w:sz w:val="18"/>
                <w:szCs w:val="18"/>
                <w:highlight w:val="none"/>
              </w:rPr>
              <w:t xml:space="preserve">合  格□</w:t>
            </w:r>
            <w:r>
              <w:rPr>
                <w:rFonts w:ascii="宋体" w:hAnsi="宋体" w:eastAsia="宋体" w:cs="宋体"/>
                <w:position w:val="1"/>
                <w:sz w:val="18"/>
                <w:szCs w:val="18"/>
                <w:highlight w:val="none"/>
              </w:rPr>
              <w:t xml:space="preserve">                              </w:t>
            </w:r>
            <w:r>
              <w:rPr>
                <w:rFonts w:ascii="宋体" w:hAnsi="宋体" w:eastAsia="宋体" w:cs="宋体"/>
                <w:spacing w:val="-2"/>
                <w:position w:val="1"/>
                <w:sz w:val="18"/>
                <w:szCs w:val="18"/>
                <w:highlight w:val="none"/>
              </w:rPr>
              <w:t xml:space="preserve">不合格□</w:t>
            </w:r>
            <w:r>
              <w:rPr>
                <w:highlight w:val="none"/>
              </w:rPr>
            </w:r>
            <w:r/>
          </w:p>
        </w:tc>
      </w:tr>
      <w:tr>
        <w:trPr>
          <w:trHeight w:val="1119"/>
        </w:trPr>
        <w:tc>
          <w:tcPr>
            <w:tcW w:w="572" w:type="dxa"/>
            <w:vAlign w:val="top"/>
            <w:textDirection w:val="lrTb"/>
            <w:noWrap w:val="false"/>
          </w:tcPr>
          <w:p>
            <w:pPr>
              <w:pStyle w:val="879"/>
              <w:ind w:left="274"/>
              <w:spacing w:before="295" w:line="208"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验收小组成员</w:t>
            </w:r>
            <w:r>
              <w:rPr>
                <w:highlight w:val="none"/>
              </w:rPr>
            </w:r>
            <w:r/>
          </w:p>
          <w:p>
            <w:pPr>
              <w:pStyle w:val="1244"/>
              <w:spacing w:line="298" w:lineRule="auto"/>
              <w:rPr>
                <w:highlight w:val="none"/>
              </w:rPr>
            </w:pPr>
            <w:r>
              <w:rPr>
                <w:highlight w:val="none"/>
              </w:rPr>
            </w:r>
            <w:r>
              <w:rPr>
                <w:highlight w:val="none"/>
              </w:rPr>
            </w:r>
            <w:r/>
          </w:p>
          <w:p>
            <w:pPr>
              <w:pStyle w:val="879"/>
              <w:ind w:left="635"/>
              <w:spacing w:before="58" w:line="208" w:lineRule="auto"/>
              <w:rPr>
                <w:rFonts w:ascii="宋体" w:hAnsi="宋体" w:eastAsia="宋体" w:cs="宋体"/>
                <w:sz w:val="18"/>
                <w:szCs w:val="18"/>
                <w:highlight w:val="none"/>
              </w:rPr>
            </w:pPr>
            <w:r>
              <w:rPr>
                <w:rFonts w:ascii="宋体" w:hAnsi="宋体" w:eastAsia="宋体" w:cs="宋体"/>
                <w:spacing w:val="-4"/>
                <w:sz w:val="18"/>
                <w:szCs w:val="18"/>
                <w:highlight w:val="none"/>
              </w:rPr>
              <w:t xml:space="preserve">签字</w:t>
            </w:r>
            <w:r>
              <w:rPr>
                <w:highlight w:val="none"/>
              </w:rPr>
            </w:r>
            <w:r/>
          </w:p>
        </w:tc>
        <w:tc>
          <w:tcPr>
            <w:gridSpan w:val="8"/>
            <w:tcW w:w="12408" w:type="dxa"/>
            <w:vAlign w:val="top"/>
            <w:textDirection w:val="lrTb"/>
            <w:noWrap w:val="false"/>
          </w:tcPr>
          <w:p>
            <w:pPr>
              <w:pStyle w:val="1244"/>
              <w:rPr>
                <w:highlight w:val="none"/>
              </w:rPr>
            </w:pPr>
            <w:r>
              <w:rPr>
                <w:highlight w:val="none"/>
              </w:rPr>
            </w:r>
            <w:r>
              <w:rPr>
                <w:highlight w:val="none"/>
              </w:rPr>
            </w:r>
            <w:r/>
          </w:p>
        </w:tc>
      </w:tr>
      <w:tr>
        <w:trPr>
          <w:trHeight w:val="559"/>
        </w:trPr>
        <w:tc>
          <w:tcPr>
            <w:gridSpan w:val="4"/>
            <w:tcW w:w="6977" w:type="dxa"/>
            <w:vAlign w:val="top"/>
            <w:textDirection w:val="lrTb"/>
            <w:noWrap w:val="false"/>
          </w:tcPr>
          <w:p>
            <w:pPr>
              <w:pStyle w:val="879"/>
              <w:ind w:left="2814"/>
              <w:spacing w:before="297" w:line="208" w:lineRule="auto"/>
              <w:rPr>
                <w:rFonts w:ascii="宋体" w:hAnsi="宋体" w:eastAsia="宋体" w:cs="宋体"/>
                <w:sz w:val="18"/>
                <w:szCs w:val="18"/>
                <w:highlight w:val="none"/>
              </w:rPr>
            </w:pPr>
            <w:r>
              <w:rPr>
                <w:rFonts w:ascii="宋体" w:hAnsi="宋体" w:eastAsia="宋体" w:cs="宋体"/>
                <w:spacing w:val="-1"/>
                <w:sz w:val="18"/>
                <w:szCs w:val="18"/>
                <w:highlight w:val="none"/>
              </w:rPr>
              <w:t xml:space="preserve">采购代理机构意见</w:t>
            </w:r>
            <w:r>
              <w:rPr>
                <w:highlight w:val="none"/>
              </w:rPr>
            </w:r>
            <w:r/>
          </w:p>
        </w:tc>
        <w:tc>
          <w:tcPr>
            <w:gridSpan w:val="5"/>
            <w:tcW w:w="7034" w:type="dxa"/>
            <w:vAlign w:val="top"/>
            <w:textDirection w:val="lrTb"/>
            <w:noWrap w:val="false"/>
          </w:tcPr>
          <w:p>
            <w:pPr>
              <w:pStyle w:val="879"/>
              <w:ind w:left="3111"/>
              <w:spacing w:before="297"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采购人意见</w:t>
            </w:r>
            <w:r>
              <w:rPr>
                <w:highlight w:val="none"/>
              </w:rPr>
            </w:r>
            <w:r/>
          </w:p>
        </w:tc>
      </w:tr>
      <w:tr>
        <w:trPr>
          <w:trHeight w:val="1119"/>
        </w:trPr>
        <w:tc>
          <w:tcPr>
            <w:gridSpan w:val="4"/>
            <w:tcW w:w="6977" w:type="dxa"/>
            <w:vAlign w:val="top"/>
            <w:textDirection w:val="lrTb"/>
            <w:noWrap w:val="false"/>
          </w:tcPr>
          <w:p>
            <w:pPr>
              <w:pStyle w:val="1244"/>
              <w:spacing w:line="255" w:lineRule="auto"/>
              <w:rPr>
                <w:highlight w:val="none"/>
              </w:rPr>
            </w:pPr>
            <w:r>
              <w:rPr>
                <w:highlight w:val="none"/>
              </w:rPr>
            </w:r>
            <w:r>
              <w:rPr>
                <w:highlight w:val="none"/>
              </w:rPr>
            </w:r>
            <w:r/>
          </w:p>
          <w:p>
            <w:pPr>
              <w:pStyle w:val="1244"/>
              <w:spacing w:line="255" w:lineRule="auto"/>
              <w:rPr>
                <w:highlight w:val="none"/>
              </w:rPr>
            </w:pPr>
            <w:r>
              <w:rPr>
                <w:highlight w:val="none"/>
              </w:rPr>
            </w:r>
            <w:r>
              <w:rPr>
                <w:highlight w:val="none"/>
              </w:rPr>
            </w:r>
            <w:r/>
          </w:p>
          <w:p>
            <w:pPr>
              <w:pStyle w:val="1244"/>
              <w:spacing w:line="255" w:lineRule="auto"/>
              <w:rPr>
                <w:highlight w:val="none"/>
              </w:rPr>
            </w:pPr>
            <w:r>
              <w:rPr>
                <w:highlight w:val="none"/>
              </w:rPr>
            </w:r>
            <w:r>
              <w:rPr>
                <w:highlight w:val="none"/>
              </w:rPr>
            </w:r>
            <w:r/>
          </w:p>
          <w:p>
            <w:pPr>
              <w:pStyle w:val="879"/>
              <w:ind w:left="113"/>
              <w:spacing w:before="59" w:line="238" w:lineRule="exact"/>
              <w:rPr>
                <w:rFonts w:ascii="宋体" w:hAnsi="宋体" w:eastAsia="宋体" w:cs="宋体"/>
                <w:sz w:val="18"/>
                <w:szCs w:val="18"/>
                <w:highlight w:val="none"/>
              </w:rPr>
            </w:pPr>
            <w:r>
              <w:rPr>
                <w:rFonts w:ascii="宋体" w:hAnsi="宋体" w:eastAsia="宋体" w:cs="宋体"/>
                <w:spacing w:val="1"/>
                <w:position w:val="1"/>
                <w:sz w:val="18"/>
                <w:szCs w:val="18"/>
                <w:highlight w:val="none"/>
              </w:rPr>
              <w:t xml:space="preserve">经办人：         负责人</w:t>
            </w:r>
            <w:r>
              <w:rPr>
                <w:rFonts w:ascii="宋体" w:hAnsi="宋体" w:eastAsia="宋体" w:cs="宋体"/>
                <w:spacing w:val="-18"/>
                <w:position w:val="1"/>
                <w:sz w:val="18"/>
                <w:szCs w:val="18"/>
                <w:highlight w:val="none"/>
              </w:rPr>
              <w:t xml:space="preserve">：</w:t>
            </w:r>
            <w:r>
              <w:rPr>
                <w:rFonts w:ascii="宋体" w:hAnsi="宋体" w:eastAsia="宋体" w:cs="宋体"/>
                <w:position w:val="1"/>
                <w:sz w:val="18"/>
                <w:szCs w:val="18"/>
                <w:highlight w:val="none"/>
              </w:rPr>
              <w:t xml:space="preserve">           </w:t>
            </w:r>
            <w:r>
              <w:rPr>
                <w:rFonts w:ascii="宋体" w:hAnsi="宋体" w:eastAsia="宋体" w:cs="宋体"/>
                <w:spacing w:val="-18"/>
                <w:position w:val="1"/>
                <w:sz w:val="18"/>
                <w:szCs w:val="18"/>
                <w:highlight w:val="none"/>
              </w:rPr>
              <w:t xml:space="preserve">（</w:t>
            </w:r>
            <w:r>
              <w:rPr>
                <w:rFonts w:ascii="宋体" w:hAnsi="宋体" w:eastAsia="宋体" w:cs="宋体"/>
                <w:spacing w:val="1"/>
                <w:position w:val="1"/>
                <w:sz w:val="18"/>
                <w:szCs w:val="18"/>
                <w:highlight w:val="none"/>
              </w:rPr>
              <w:t xml:space="preserve">采购代理机构公章）</w:t>
            </w:r>
            <w:r>
              <w:rPr>
                <w:highlight w:val="none"/>
              </w:rPr>
            </w:r>
            <w:r/>
          </w:p>
        </w:tc>
        <w:tc>
          <w:tcPr>
            <w:gridSpan w:val="5"/>
            <w:tcW w:w="7034" w:type="dxa"/>
            <w:vAlign w:val="top"/>
            <w:textDirection w:val="lrTb"/>
            <w:noWrap w:val="false"/>
          </w:tcPr>
          <w:p>
            <w:pPr>
              <w:pStyle w:val="1244"/>
              <w:spacing w:line="255" w:lineRule="auto"/>
              <w:rPr>
                <w:highlight w:val="none"/>
              </w:rPr>
            </w:pPr>
            <w:r>
              <w:rPr>
                <w:highlight w:val="none"/>
              </w:rPr>
            </w:r>
            <w:r>
              <w:rPr>
                <w:highlight w:val="none"/>
              </w:rPr>
            </w:r>
            <w:r/>
          </w:p>
          <w:p>
            <w:pPr>
              <w:pStyle w:val="1244"/>
              <w:spacing w:line="255" w:lineRule="auto"/>
              <w:rPr>
                <w:highlight w:val="none"/>
              </w:rPr>
            </w:pPr>
            <w:r>
              <w:rPr>
                <w:highlight w:val="none"/>
              </w:rPr>
            </w:r>
            <w:r>
              <w:rPr>
                <w:highlight w:val="none"/>
              </w:rPr>
            </w:r>
            <w:r/>
          </w:p>
          <w:p>
            <w:pPr>
              <w:pStyle w:val="1244"/>
              <w:spacing w:line="255" w:lineRule="auto"/>
              <w:rPr>
                <w:highlight w:val="none"/>
              </w:rPr>
            </w:pPr>
            <w:r>
              <w:rPr>
                <w:highlight w:val="none"/>
              </w:rPr>
            </w:r>
            <w:r>
              <w:rPr>
                <w:highlight w:val="none"/>
              </w:rPr>
            </w:r>
            <w:r/>
          </w:p>
          <w:p>
            <w:pPr>
              <w:pStyle w:val="879"/>
              <w:ind w:left="115"/>
              <w:spacing w:before="59" w:line="238" w:lineRule="exact"/>
              <w:rPr>
                <w:rFonts w:ascii="宋体" w:hAnsi="宋体" w:eastAsia="宋体" w:cs="宋体"/>
                <w:sz w:val="18"/>
                <w:szCs w:val="18"/>
                <w:highlight w:val="none"/>
              </w:rPr>
            </w:pPr>
            <w:r>
              <w:rPr>
                <w:rFonts w:ascii="宋体" w:hAnsi="宋体" w:eastAsia="宋体" w:cs="宋体"/>
                <w:spacing w:val="1"/>
                <w:position w:val="1"/>
                <w:sz w:val="18"/>
                <w:szCs w:val="18"/>
                <w:highlight w:val="none"/>
              </w:rPr>
              <w:t xml:space="preserve">经办人：         负责人</w:t>
            </w:r>
            <w:r>
              <w:rPr>
                <w:rFonts w:ascii="宋体" w:hAnsi="宋体" w:eastAsia="宋体" w:cs="宋体"/>
                <w:spacing w:val="-17"/>
                <w:position w:val="1"/>
                <w:sz w:val="18"/>
                <w:szCs w:val="18"/>
                <w:highlight w:val="none"/>
              </w:rPr>
              <w:t xml:space="preserve">：</w:t>
            </w:r>
            <w:r>
              <w:rPr>
                <w:rFonts w:ascii="宋体" w:hAnsi="宋体" w:eastAsia="宋体" w:cs="宋体"/>
                <w:position w:val="1"/>
                <w:sz w:val="18"/>
                <w:szCs w:val="18"/>
                <w:highlight w:val="none"/>
              </w:rPr>
              <w:t xml:space="preserve">               </w:t>
            </w:r>
            <w:r>
              <w:rPr>
                <w:rFonts w:ascii="宋体" w:hAnsi="宋体" w:eastAsia="宋体" w:cs="宋体"/>
                <w:spacing w:val="-17"/>
                <w:position w:val="1"/>
                <w:sz w:val="18"/>
                <w:szCs w:val="18"/>
                <w:highlight w:val="none"/>
              </w:rPr>
              <w:t xml:space="preserve">（</w:t>
            </w:r>
            <w:r>
              <w:rPr>
                <w:rFonts w:ascii="宋体" w:hAnsi="宋体" w:eastAsia="宋体" w:cs="宋体"/>
                <w:spacing w:val="1"/>
                <w:position w:val="1"/>
                <w:sz w:val="18"/>
                <w:szCs w:val="18"/>
                <w:highlight w:val="none"/>
              </w:rPr>
              <w:t xml:space="preserve">采购人公章）</w:t>
            </w:r>
            <w:r>
              <w:rPr>
                <w:highlight w:val="none"/>
              </w:rPr>
            </w:r>
            <w:r/>
          </w:p>
        </w:tc>
      </w:tr>
      <w:tr>
        <w:trPr>
          <w:trHeight w:val="1681"/>
        </w:trPr>
        <w:tc>
          <w:tcPr>
            <w:gridSpan w:val="9"/>
            <w:tcW w:w="14011" w:type="dxa"/>
            <w:vAlign w:val="top"/>
            <w:textDirection w:val="lrTb"/>
            <w:noWrap w:val="false"/>
          </w:tcPr>
          <w:p>
            <w:pPr>
              <w:pStyle w:val="879"/>
              <w:ind w:left="112"/>
              <w:spacing w:before="299" w:line="207" w:lineRule="auto"/>
              <w:rPr>
                <w:rFonts w:ascii="宋体" w:hAnsi="宋体" w:eastAsia="宋体" w:cs="宋体"/>
                <w:sz w:val="18"/>
                <w:szCs w:val="18"/>
                <w:highlight w:val="none"/>
              </w:rPr>
            </w:pPr>
            <w:r>
              <w:rPr>
                <w:rFonts w:ascii="宋体" w:hAnsi="宋体" w:eastAsia="宋体" w:cs="宋体"/>
                <w:spacing w:val="-2"/>
                <w:sz w:val="18"/>
                <w:szCs w:val="18"/>
                <w:highlight w:val="none"/>
              </w:rPr>
              <w:t xml:space="preserve">供应商确认：</w:t>
            </w:r>
            <w:r>
              <w:rPr>
                <w:highlight w:val="none"/>
              </w:rPr>
            </w:r>
            <w:r/>
          </w:p>
          <w:p>
            <w:pPr>
              <w:pStyle w:val="1244"/>
              <w:spacing w:line="275" w:lineRule="auto"/>
              <w:rPr>
                <w:highlight w:val="none"/>
              </w:rPr>
            </w:pPr>
            <w:r>
              <w:rPr>
                <w:highlight w:val="none"/>
              </w:rPr>
            </w:r>
            <w:r>
              <w:rPr>
                <w:highlight w:val="none"/>
              </w:rPr>
            </w:r>
            <w:r/>
          </w:p>
          <w:p>
            <w:pPr>
              <w:pStyle w:val="1244"/>
              <w:spacing w:line="275" w:lineRule="auto"/>
              <w:rPr>
                <w:highlight w:val="none"/>
              </w:rPr>
            </w:pPr>
            <w:r>
              <w:rPr>
                <w:highlight w:val="none"/>
              </w:rPr>
            </w:r>
            <w:r>
              <w:rPr>
                <w:highlight w:val="none"/>
              </w:rPr>
            </w:r>
            <w:r/>
          </w:p>
          <w:p>
            <w:pPr>
              <w:pStyle w:val="1244"/>
              <w:spacing w:line="275" w:lineRule="auto"/>
              <w:rPr>
                <w:highlight w:val="none"/>
              </w:rPr>
            </w:pPr>
            <w:r>
              <w:rPr>
                <w:highlight w:val="none"/>
              </w:rPr>
            </w:r>
            <w:r>
              <w:rPr>
                <w:highlight w:val="none"/>
              </w:rPr>
            </w:r>
            <w:r/>
          </w:p>
          <w:p>
            <w:pPr>
              <w:pStyle w:val="879"/>
              <w:ind w:left="117"/>
              <w:spacing w:before="58" w:line="239" w:lineRule="exact"/>
              <w:rPr>
                <w:rFonts w:ascii="宋体" w:hAnsi="宋体" w:eastAsia="宋体" w:cs="宋体"/>
                <w:sz w:val="18"/>
                <w:szCs w:val="18"/>
                <w:highlight w:val="none"/>
              </w:rPr>
            </w:pPr>
            <w:r>
              <w:rPr>
                <w:rFonts w:ascii="宋体" w:hAnsi="宋体" w:eastAsia="宋体" w:cs="宋体"/>
                <w:spacing w:val="-1"/>
                <w:position w:val="1"/>
                <w:sz w:val="18"/>
                <w:szCs w:val="18"/>
                <w:highlight w:val="none"/>
              </w:rPr>
              <w:t xml:space="preserve">（单位公章或授权代表签字）</w:t>
            </w:r>
            <w:r>
              <w:rPr>
                <w:highlight w:val="none"/>
              </w:rPr>
            </w:r>
            <w:r/>
          </w:p>
        </w:tc>
      </w:tr>
    </w:tbl>
    <w:p>
      <w:pPr>
        <w:pStyle w:val="879"/>
        <w:ind w:left="85"/>
        <w:spacing w:before="266" w:line="239" w:lineRule="exact"/>
        <w:rPr>
          <w:rFonts w:ascii="宋体" w:hAnsi="宋体" w:eastAsia="宋体" w:cs="宋体"/>
          <w:sz w:val="18"/>
          <w:szCs w:val="18"/>
          <w:highlight w:val="none"/>
        </w:rPr>
      </w:pPr>
      <w:r>
        <w:rPr>
          <w:rFonts w:ascii="宋体" w:hAnsi="宋体" w:eastAsia="宋体" w:cs="宋体"/>
          <w:position w:val="1"/>
          <w:sz w:val="18"/>
          <w:szCs w:val="18"/>
          <w:highlight w:val="none"/>
        </w:rPr>
        <w:t xml:space="preserve">说明：1.该表为服务类项目履约验收的参考样表，采购人或采购代理机构可以</w:t>
      </w:r>
      <w:r>
        <w:rPr>
          <w:rFonts w:ascii="宋体" w:hAnsi="宋体" w:eastAsia="宋体" w:cs="宋体"/>
          <w:spacing w:val="-1"/>
          <w:position w:val="1"/>
          <w:sz w:val="18"/>
          <w:szCs w:val="18"/>
          <w:highlight w:val="none"/>
        </w:rPr>
        <w:t xml:space="preserve">根据工作实际进行调整。</w:t>
      </w:r>
      <w:r>
        <w:rPr>
          <w:highlight w:val="none"/>
        </w:rPr>
      </w:r>
      <w:r/>
    </w:p>
    <w:p>
      <w:pPr>
        <w:pStyle w:val="895"/>
        <w:spacing w:line="262" w:lineRule="auto"/>
        <w:rPr>
          <w:highlight w:val="none"/>
        </w:rPr>
      </w:pPr>
      <w:r>
        <w:rPr>
          <w:highlight w:val="none"/>
        </w:rPr>
      </w:r>
      <w:r>
        <w:rPr>
          <w:highlight w:val="none"/>
        </w:rPr>
      </w:r>
      <w:r/>
    </w:p>
    <w:p>
      <w:pPr>
        <w:pStyle w:val="879"/>
        <w:ind w:left="625"/>
        <w:spacing w:before="59" w:line="238" w:lineRule="exact"/>
        <w:rPr>
          <w:rFonts w:ascii="宋体" w:hAnsi="宋体" w:eastAsia="宋体" w:cs="宋体"/>
          <w:spacing w:val="-1"/>
          <w:position w:val="1"/>
          <w:sz w:val="18"/>
          <w:szCs w:val="18"/>
          <w:highlight w:val="none"/>
        </w:rPr>
        <w:outlineLvl w:val="0"/>
      </w:pPr>
      <w:r>
        <w:rPr>
          <w:rFonts w:ascii="宋体" w:hAnsi="宋体" w:eastAsia="宋体" w:cs="宋体"/>
          <w:position w:val="1"/>
          <w:sz w:val="18"/>
          <w:szCs w:val="18"/>
          <w:highlight w:val="none"/>
        </w:rPr>
        <w:t xml:space="preserve">2.未委托采购代理机构开展履约验收工作的，无需填写“</w:t>
      </w:r>
      <w:r>
        <w:rPr>
          <w:rFonts w:ascii="宋体" w:hAnsi="宋体" w:eastAsia="宋体" w:cs="宋体"/>
          <w:spacing w:val="-1"/>
          <w:position w:val="1"/>
          <w:sz w:val="18"/>
          <w:szCs w:val="18"/>
          <w:highlight w:val="none"/>
        </w:rPr>
        <w:t xml:space="preserve">采购代理机构意见</w:t>
      </w:r>
      <w:r>
        <w:rPr>
          <w:rFonts w:ascii="宋体" w:hAnsi="宋体" w:eastAsia="宋体" w:cs="宋体"/>
          <w:spacing w:val="-66"/>
          <w:position w:val="1"/>
          <w:sz w:val="18"/>
          <w:szCs w:val="18"/>
          <w:highlight w:val="none"/>
        </w:rPr>
        <w:t xml:space="preserve"> </w:t>
      </w:r>
      <w:r>
        <w:rPr>
          <w:rFonts w:ascii="宋体" w:hAnsi="宋体" w:eastAsia="宋体" w:cs="宋体"/>
          <w:spacing w:val="-1"/>
          <w:position w:val="1"/>
          <w:sz w:val="18"/>
          <w:szCs w:val="18"/>
          <w:highlight w:val="none"/>
        </w:rPr>
        <w:t xml:space="preserve">”。</w:t>
      </w:r>
      <w:r>
        <w:rPr>
          <w:highlight w:val="none"/>
        </w:rPr>
      </w:r>
      <w:r/>
    </w:p>
    <w:p>
      <w:pPr>
        <w:pStyle w:val="879"/>
        <w:rPr>
          <w:highlight w:val="none"/>
        </w:rPr>
      </w:pPr>
      <w:r>
        <w:rPr>
          <w:highlight w:val="none"/>
        </w:rPr>
      </w:r>
      <w:r>
        <w:rPr>
          <w:highlight w:val="none"/>
        </w:rPr>
      </w:r>
      <w:r/>
    </w:p>
    <w:p>
      <w:pPr>
        <w:pStyle w:val="879"/>
        <w:rPr>
          <w:highlight w:val="none"/>
        </w:rPr>
      </w:pPr>
      <w:r>
        <w:rPr>
          <w:highlight w:val="none"/>
        </w:rPr>
      </w:r>
      <w:r>
        <w:rPr>
          <w:highlight w:val="none"/>
        </w:rPr>
      </w:r>
      <w:r/>
    </w:p>
    <w:p>
      <w:pPr>
        <w:pStyle w:val="879"/>
        <w:rPr>
          <w:highlight w:val="none"/>
        </w:rPr>
      </w:pPr>
      <w:r>
        <w:rPr>
          <w:highlight w:val="none"/>
        </w:rPr>
      </w:r>
      <w:r>
        <w:rPr>
          <w:highlight w:val="none"/>
        </w:rPr>
      </w:r>
      <w:r/>
    </w:p>
    <w:p>
      <w:pPr>
        <w:pStyle w:val="895"/>
        <w:rPr>
          <w:highlight w:val="none"/>
        </w:rPr>
        <w:sectPr>
          <w:footerReference w:type="default" r:id="rId12"/>
          <w:footnotePr/>
          <w:endnotePr/>
          <w:type w:val="nextPage"/>
          <w:pgSz w:w="16838" w:h="11906" w:orient="landscape"/>
          <w:pgMar w:top="1021" w:right="1418" w:bottom="1021" w:left="1418" w:header="567" w:footer="567" w:gutter="0"/>
          <w:cols w:num="1" w:sep="0" w:space="1701" w:equalWidth="1"/>
          <w:docGrid w:linePitch="360"/>
          <w:titlePg/>
        </w:sectPr>
      </w:pPr>
      <w:r>
        <w:rPr>
          <w:highlight w:val="none"/>
        </w:rPr>
      </w:r>
      <w:r>
        <w:rPr>
          <w:highlight w:val="none"/>
        </w:rPr>
      </w:r>
      <w:r/>
    </w:p>
    <w:p>
      <w:pPr>
        <w:pStyle w:val="879"/>
        <w:spacing w:line="360" w:lineRule="auto"/>
        <w:rPr>
          <w:rFonts w:hint="eastAsia" w:ascii="宋体" w:hAnsi="宋体" w:cs="宋体"/>
          <w:sz w:val="24"/>
          <w:highlight w:val="none"/>
        </w:rPr>
      </w:pPr>
      <w:r>
        <w:rPr>
          <w:rFonts w:hint="eastAsia" w:ascii="宋体" w:hAnsi="宋体" w:cs="宋体"/>
          <w:sz w:val="24"/>
          <w:highlight w:val="none"/>
        </w:rPr>
      </w:r>
      <w:r>
        <w:rPr>
          <w:highlight w:val="none"/>
        </w:rPr>
      </w:r>
      <w:r/>
    </w:p>
    <w:p>
      <w:pPr>
        <w:pStyle w:val="1164"/>
        <w:jc w:val="center"/>
        <w:rPr>
          <w:rFonts w:hint="eastAsia" w:ascii="黑体" w:hAnsi="宋体" w:eastAsia="黑体"/>
          <w:szCs w:val="16"/>
          <w:highlight w:val="none"/>
        </w:rPr>
      </w:pPr>
      <w:r>
        <w:rPr>
          <w:highlight w:val="none"/>
        </w:rPr>
      </w:r>
      <w:bookmarkStart w:id="17" w:name="_Toc16136"/>
      <w:r>
        <w:rPr>
          <w:rFonts w:hint="eastAsia" w:ascii="黑体" w:hAnsi="宋体" w:eastAsia="黑体"/>
          <w:szCs w:val="16"/>
          <w:highlight w:val="none"/>
        </w:rPr>
        <w:t xml:space="preserve">第五章  评审办法</w:t>
      </w:r>
      <w:bookmarkEnd w:id="16"/>
      <w:r>
        <w:rPr>
          <w:highlight w:val="none"/>
        </w:rPr>
      </w:r>
      <w:bookmarkEnd w:id="17"/>
      <w:r>
        <w:rPr>
          <w:highlight w:val="none"/>
        </w:rPr>
      </w:r>
      <w:r/>
    </w:p>
    <w:p>
      <w:pPr>
        <w:pStyle w:val="879"/>
        <w:rPr>
          <w:rFonts w:ascii="宋体" w:hAnsi="宋体"/>
          <w:highlight w:val="none"/>
        </w:rPr>
      </w:pPr>
      <w:r>
        <w:rPr>
          <w:rFonts w:ascii="宋体" w:hAnsi="宋体"/>
          <w:highlight w:val="none"/>
        </w:rPr>
      </w:r>
      <w:r>
        <w:rPr>
          <w:highlight w:val="none"/>
        </w:rPr>
      </w:r>
      <w:r/>
    </w:p>
    <w:p>
      <w:pPr>
        <w:pStyle w:val="879"/>
        <w:ind w:firstLine="482"/>
        <w:spacing w:line="360" w:lineRule="auto"/>
        <w:tabs>
          <w:tab w:val="left" w:pos="2870" w:leader="none"/>
        </w:tabs>
        <w:rPr>
          <w:rFonts w:ascii="宋体" w:hAnsi="宋体"/>
          <w:b/>
          <w:color w:val="000000"/>
          <w:sz w:val="24"/>
          <w:highlight w:val="none"/>
        </w:rPr>
      </w:pPr>
      <w:r>
        <w:rPr>
          <w:rFonts w:hint="eastAsia" w:ascii="宋体" w:hAnsi="宋体"/>
          <w:b/>
          <w:color w:val="000000"/>
          <w:sz w:val="24"/>
          <w:highlight w:val="none"/>
        </w:rPr>
        <w:t xml:space="preserve">一、评审方法</w:t>
      </w:r>
      <w:r>
        <w:rPr>
          <w:highlight w:val="none"/>
        </w:rPr>
      </w:r>
      <w:r/>
    </w:p>
    <w:p>
      <w:pPr>
        <w:pStyle w:val="879"/>
        <w:ind w:firstLine="480"/>
        <w:spacing w:line="360" w:lineRule="auto"/>
        <w:tabs>
          <w:tab w:val="left" w:pos="287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本次</w:t>
      </w:r>
      <w:r>
        <w:rPr>
          <w:rFonts w:hint="eastAsia" w:ascii="宋体" w:hAnsi="宋体"/>
          <w:color w:val="000000"/>
          <w:sz w:val="24"/>
          <w:highlight w:val="none"/>
        </w:rPr>
        <w:t xml:space="preserve">磋商采用综合评分法，即在</w:t>
      </w:r>
      <w:r>
        <w:rPr>
          <w:rFonts w:ascii="宋体" w:hAnsi="宋体"/>
          <w:color w:val="000000"/>
          <w:sz w:val="24"/>
          <w:highlight w:val="none"/>
        </w:rPr>
        <w:t xml:space="preserve">响应文件满足磋商文件全部实质性要求且按评审因素的量化指标评审得分最高的供应商为成交候选供应商</w:t>
      </w:r>
      <w:r>
        <w:rPr>
          <w:rFonts w:hint="eastAsia" w:ascii="宋体" w:hAnsi="宋体"/>
          <w:color w:val="000000"/>
          <w:sz w:val="24"/>
          <w:highlight w:val="none"/>
        </w:rPr>
        <w:t xml:space="preserve">。采购人书面授权磋商小组直接确定成交供应商</w:t>
      </w:r>
      <w:r>
        <w:rPr>
          <w:rFonts w:ascii="宋体" w:hAnsi="宋体"/>
          <w:color w:val="000000"/>
          <w:sz w:val="24"/>
          <w:highlight w:val="none"/>
        </w:rPr>
        <w:t xml:space="preserve">。</w:t>
      </w:r>
      <w:r>
        <w:rPr>
          <w:highlight w:val="none"/>
        </w:rPr>
      </w:r>
      <w:r/>
    </w:p>
    <w:p>
      <w:pPr>
        <w:pStyle w:val="87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highlight w:val="none"/>
        </w:rPr>
      </w:r>
      <w:r/>
    </w:p>
    <w:p>
      <w:pPr>
        <w:pStyle w:val="87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rPr>
          <w:rFonts w:ascii="宋体" w:hAnsi="宋体"/>
          <w:color w:val="000000"/>
          <w:sz w:val="24"/>
          <w:highlight w:val="none"/>
        </w:rPr>
        <w:t xml:space="preserve">。</w:t>
      </w:r>
      <w:r>
        <w:rPr>
          <w:highlight w:val="none"/>
        </w:rPr>
      </w:r>
      <w:r/>
    </w:p>
    <w:p>
      <w:pPr>
        <w:pStyle w:val="879"/>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二、评分标准</w:t>
      </w:r>
      <w:bookmarkStart w:id="18" w:name="OLE_LINK1"/>
      <w:r>
        <w:rPr>
          <w:highlight w:val="none"/>
        </w:rPr>
      </w:r>
      <w:r/>
    </w:p>
    <w:p>
      <w:pPr>
        <w:pStyle w:val="879"/>
        <w:ind w:firstLine="482"/>
        <w:spacing w:line="360" w:lineRule="auto"/>
        <w:rPr>
          <w:rFonts w:hint="eastAsia" w:ascii="宋体" w:hAnsi="宋体"/>
          <w:b/>
          <w:bCs/>
          <w:sz w:val="24"/>
          <w:szCs w:val="24"/>
          <w:highlight w:val="none"/>
        </w:rPr>
      </w:pPr>
      <w:r>
        <w:rPr>
          <w:highlight w:val="none"/>
        </w:rPr>
      </w:r>
      <w:bookmarkEnd w:id="18"/>
      <w:r>
        <w:rPr>
          <w:rFonts w:hint="eastAsia" w:ascii="宋体" w:hAnsi="宋体"/>
          <w:b/>
          <w:bCs/>
          <w:sz w:val="24"/>
          <w:szCs w:val="24"/>
          <w:highlight w:val="none"/>
        </w:rPr>
        <w:t xml:space="preserve">（一）报价得分（10分）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1、投标报价（优惠率）低于或等于预算价格（费率）的，为有效投标报价。超预算的投标报价为无效投标报价（优惠率）。无效投标报价的投标文件不进行评审，也不得标。</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2、价格分采用低价优先法计算，即满足招标文件要求且优惠率最高的投标报价为评标基准价，其他投标人的价格分按照下列公式计算（计算结果四舍五入保留两位小数）。</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3、投标报价得分=（1-评标基准价)/(1-优惠率）*价格权值*100，小数点后保留两位（价格权值为10%）。</w:t>
      </w:r>
      <w:r>
        <w:rPr>
          <w:highlight w:val="none"/>
        </w:rPr>
      </w:r>
      <w:r/>
    </w:p>
    <w:p>
      <w:pPr>
        <w:pStyle w:val="879"/>
        <w:ind w:right="0" w:firstLine="42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（二）针对本项目的详细配送服务方案（2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 </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1、食材货源及时令蔬菜供应保障措施：</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有完善的保障措施、可行性强得3分；有较完善的保障措施、有一定可行性得2分；有保障措施、可行性一般得1分；不提供不得分。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2、食材配送及运输安全保障措施：</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有完善的保障措施、可行性强得3分；有较完善的保障措施、有一定可行性得2分；有保障措施、可行性一般得1分；不提供不得分。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3、食材安全、卫生、无毒无公害保障措施：</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有完善的保障措施、可行性强得3分；有较完善的保障措施、有一定可行性得2分；有保障措施、可行性一般得1分；不提供不得分。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4、鱼肉水产蔬菜新鲜度及质保期保障措施：</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有完善的保障措施、可行性强得3分；有较完善的保障措施、有一定可行性得2分；有保障措施、可行性一般得1分；不提供不得分。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5、鱼肉水产蔬菜可追根溯源的保障措施 ：</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有完善的保障措施、可行性强得3分；有较完善的保障措施、有一定可行性得2分；有保障措施、可行性一般得1分；不提供不得分。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6、微利经营方案及保障措施：</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有完善的经营方案和保障措施、可行性强得3分；有较完善的经营方案和保障措施、有一定可行性得2分；有经营方案和保障措施、可行性一般得1分；不提供不得分。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7、与采购方及各主管部门的日常沟通、配合方案：</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有完善的方案、可行性强得3分；有较完善的方案、有一定可行性得2分；有方案、可行性一般得1分；不提供不得分。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8、发生紧急情况如员工食物中毒等应急预备方案：</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有完善的应急预备方案、可行性强得3分；有较完善的应急预备方案、有一定可行性得2分；有应急预备方案、可行性一般得1分；不提供不得分。</w:t>
      </w:r>
      <w:r>
        <w:rPr>
          <w:highlight w:val="none"/>
        </w:rPr>
      </w:r>
      <w:r/>
    </w:p>
    <w:p>
      <w:pPr>
        <w:pStyle w:val="879"/>
        <w:ind w:right="0"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（三）内部管理制度比较（1</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1、食材卫生安全保障机制、质量保障机制制度：</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保障制度全面详尽、可行性强得</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分；保障制度详尽、有一定可行性得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分；有保障制度、可行性一般得1分；不提供不得分。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2、内部食材配送业务操作流程规范制度：</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规范制度全面详尽、可行性强得</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分；规范制度较详尽、有一定可行性得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分；有规范制度、可行性一般得1分；不提供不得分。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3、内部考核、服务质量监督制度：</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描述全面详尽、可行性强得</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分；描述较详尽、有一定可行性得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分；有描述、可行性一般得1分；不提供不得分。</w:t>
      </w:r>
      <w:r>
        <w:rPr>
          <w:highlight w:val="none"/>
        </w:rPr>
      </w:r>
      <w:r/>
    </w:p>
    <w:p>
      <w:pPr>
        <w:pStyle w:val="879"/>
        <w:ind w:right="0" w:firstLine="42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（四）服务团队配置比较（</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 </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1、项目</w:t>
      </w:r>
      <w:r>
        <w:rPr>
          <w:rFonts w:hint="eastAsia" w:ascii="宋体" w:hAnsi="宋体" w:eastAsia="宋体" w:cs="Times New Roman"/>
          <w:color w:val="000000"/>
          <w:sz w:val="24"/>
          <w:highlight w:val="none"/>
          <w:lang w:val="en-US" w:eastAsia="zh-CN"/>
        </w:rPr>
        <w:t xml:space="preserve">团队人员具有健康证的，有1人得2分，最高</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（提供</w:t>
      </w:r>
      <w:r>
        <w:rPr>
          <w:rFonts w:hint="eastAsia" w:ascii="宋体" w:hAnsi="宋体" w:eastAsia="宋体" w:cs="Times New Roman"/>
          <w:color w:val="000000"/>
          <w:sz w:val="24"/>
          <w:highlight w:val="none"/>
          <w:lang w:val="en-US" w:eastAsia="zh-CN"/>
        </w:rPr>
        <w:t xml:space="preserve">投标单位为其缴纳的近6个月的</w:t>
      </w:r>
      <w:r>
        <w:rPr>
          <w:rFonts w:hint="eastAsia" w:ascii="宋体" w:hAnsi="宋体" w:eastAsia="宋体" w:cs="Times New Roman"/>
          <w:color w:val="000000"/>
          <w:sz w:val="24"/>
          <w:highlight w:val="none"/>
        </w:rPr>
        <w:t xml:space="preserve">社保证明</w:t>
      </w:r>
      <w:r>
        <w:rPr>
          <w:rFonts w:hint="eastAsia" w:ascii="宋体" w:hAnsi="宋体" w:eastAsia="宋体" w:cs="Times New Roman"/>
          <w:color w:val="000000"/>
          <w:sz w:val="24"/>
          <w:highlight w:val="none"/>
          <w:lang w:val="en-US" w:eastAsia="zh-CN"/>
        </w:rPr>
        <w:t xml:space="preserve">及相关证书复印件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缺失、不符或不提供者，对应项不得分</w:t>
      </w:r>
      <w:r>
        <w:rPr>
          <w:rFonts w:hint="eastAsia" w:ascii="宋体" w:hAnsi="宋体" w:eastAsia="宋体" w:cs="Times New Roman"/>
          <w:color w:val="000000"/>
          <w:sz w:val="24"/>
          <w:highlight w:val="none"/>
        </w:rPr>
        <w:t xml:space="preserve">）</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2、项目团队人员具有</w:t>
      </w:r>
      <w:r>
        <w:rPr>
          <w:rFonts w:hint="eastAsia" w:ascii="宋体" w:hAnsi="宋体" w:eastAsia="宋体" w:cs="Times New Roman"/>
          <w:color w:val="000000"/>
          <w:sz w:val="24"/>
          <w:highlight w:val="none"/>
          <w:lang w:val="en-US" w:eastAsia="zh-CN"/>
        </w:rPr>
        <w:t xml:space="preserve">食品检验工证书的</w:t>
      </w:r>
      <w:r>
        <w:rPr>
          <w:rFonts w:hint="eastAsia" w:ascii="宋体" w:hAnsi="宋体" w:eastAsia="宋体" w:cs="Times New Roman"/>
          <w:color w:val="000000"/>
          <w:sz w:val="24"/>
          <w:highlight w:val="none"/>
        </w:rPr>
        <w:t xml:space="preserve">，有1名得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分，最高得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（提供</w:t>
      </w:r>
      <w:r>
        <w:rPr>
          <w:rFonts w:hint="eastAsia" w:ascii="宋体" w:hAnsi="宋体" w:eastAsia="宋体" w:cs="Times New Roman"/>
          <w:color w:val="000000"/>
          <w:sz w:val="24"/>
          <w:highlight w:val="none"/>
          <w:lang w:val="en-US" w:eastAsia="zh-CN"/>
        </w:rPr>
        <w:t xml:space="preserve">投标单位为其缴纳的近6个月的</w:t>
      </w:r>
      <w:r>
        <w:rPr>
          <w:rFonts w:hint="eastAsia" w:ascii="宋体" w:hAnsi="宋体" w:eastAsia="宋体" w:cs="Times New Roman"/>
          <w:color w:val="000000"/>
          <w:sz w:val="24"/>
          <w:highlight w:val="none"/>
        </w:rPr>
        <w:t xml:space="preserve">社保证明</w:t>
      </w:r>
      <w:r>
        <w:rPr>
          <w:rFonts w:hint="eastAsia" w:ascii="宋体" w:hAnsi="宋体" w:eastAsia="宋体" w:cs="Times New Roman"/>
          <w:color w:val="000000"/>
          <w:sz w:val="24"/>
          <w:highlight w:val="none"/>
          <w:lang w:val="en-US" w:eastAsia="zh-CN"/>
        </w:rPr>
        <w:t xml:space="preserve">及相关证书复印件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缺失、不符或不提供者，对应项不得分</w:t>
      </w:r>
      <w:r>
        <w:rPr>
          <w:rFonts w:hint="eastAsia" w:ascii="宋体" w:hAnsi="宋体" w:eastAsia="宋体" w:cs="Times New Roman"/>
          <w:color w:val="000000"/>
          <w:sz w:val="24"/>
          <w:highlight w:val="none"/>
        </w:rPr>
        <w:t xml:space="preserve">）</w:t>
      </w:r>
      <w:r>
        <w:rPr>
          <w:highlight w:val="none"/>
        </w:rPr>
      </w:r>
      <w:r/>
    </w:p>
    <w:p>
      <w:pPr>
        <w:pStyle w:val="879"/>
        <w:ind w:right="0" w:firstLine="42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（五）设施设备配置比较（1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1、功能区比较：</w:t>
      </w:r>
      <w:r>
        <w:rPr>
          <w:rFonts w:hint="eastAsia" w:ascii="宋体" w:hAnsi="宋体" w:eastAsia="宋体" w:cs="Times New Roman"/>
          <w:color w:val="000000"/>
          <w:sz w:val="24"/>
          <w:highlight w:val="none"/>
          <w:lang w:val="en-US" w:eastAsia="zh-CN"/>
        </w:rPr>
        <w:t xml:space="preserve">6分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分；功能区分布较为合理、提供图片清晰完整、描述较为详尽得</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分；功能区分布合理性一般、提供图片不完整、描述一般得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分；功能区不全不得分。</w:t>
      </w:r>
      <w:r>
        <w:rPr>
          <w:highlight w:val="none"/>
        </w:rPr>
      </w:r>
      <w:r/>
    </w:p>
    <w:p>
      <w:pPr>
        <w:pStyle w:val="879"/>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检测能力情况</w:t>
      </w:r>
      <w:r>
        <w:rPr>
          <w:rFonts w:hint="eastAsia" w:ascii="宋体" w:hAnsi="宋体" w:eastAsia="宋体" w:cs="Times New Roman"/>
          <w:color w:val="000000"/>
          <w:sz w:val="24"/>
          <w:highlight w:val="none"/>
          <w:lang w:val="zh-CN"/>
        </w:rPr>
        <w:t xml:space="preserve">比较：</w:t>
      </w:r>
      <w:r>
        <w:rPr>
          <w:rFonts w:hint="eastAsia" w:ascii="宋体" w:hAnsi="宋体" w:eastAsia="宋体" w:cs="Times New Roman"/>
          <w:color w:val="000000"/>
          <w:sz w:val="24"/>
          <w:highlight w:val="none"/>
          <w:lang w:val="en-US" w:eastAsia="zh-CN"/>
        </w:rPr>
        <w:t xml:space="preserve">6分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lang w:val="zh-CN"/>
        </w:rPr>
        <w:t xml:space="preserve">单位食材化验室配置先进、检测仪器设备配置齐全、检测能力强得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分；食材化验室配置良好、检测仪器设备配置较为全面、检测能力稍有欠缺的</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分；食材化验室配置、检测仪器设备配置欠缺、检测能力欠缺的</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分，未提供不得分。（</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rPr>
        <w:t xml:space="preserve">提供化验室图片、检测设备图片、购买发票等相关证明材料</w:t>
      </w:r>
      <w:r>
        <w:rPr>
          <w:rFonts w:hint="eastAsia" w:ascii="宋体" w:hAnsi="宋体" w:eastAsia="宋体" w:cs="Times New Roman"/>
          <w:color w:val="000000"/>
          <w:sz w:val="24"/>
          <w:highlight w:val="none"/>
        </w:rPr>
        <w:t xml:space="preserve">，缺失、不符或不提供者，对应项不得分）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5.3、</w:t>
      </w:r>
      <w:r>
        <w:rPr>
          <w:rFonts w:hint="eastAsia" w:ascii="宋体" w:hAnsi="宋体" w:eastAsia="宋体" w:cs="Times New Roman"/>
          <w:color w:val="000000"/>
          <w:sz w:val="24"/>
          <w:highlight w:val="none"/>
        </w:rPr>
        <w:t xml:space="preserve">运输装卸综合情况横向比较：</w:t>
      </w:r>
      <w:r>
        <w:rPr>
          <w:rFonts w:hint="eastAsia" w:ascii="宋体" w:hAnsi="宋体" w:eastAsia="宋体" w:cs="Times New Roman"/>
          <w:color w:val="000000"/>
          <w:sz w:val="24"/>
          <w:highlight w:val="none"/>
          <w:lang w:val="en-US" w:eastAsia="zh-CN"/>
        </w:rPr>
        <w:t xml:space="preserve">6分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zh-CN"/>
        </w:rPr>
        <w:t xml:space="preserve">运输车辆配置齐全</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装卸设备及计划合理且科学得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分；运输车辆配置较好</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装卸设备及计划较为合理且科学得</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分；</w:t>
      </w:r>
      <w:r>
        <w:rPr>
          <w:rFonts w:hint="eastAsia" w:ascii="宋体" w:hAnsi="宋体" w:eastAsia="宋体" w:cs="Times New Roman"/>
          <w:color w:val="000000"/>
          <w:sz w:val="24"/>
          <w:highlight w:val="none"/>
          <w:lang w:val="en-US" w:eastAsia="zh-CN"/>
        </w:rPr>
        <w:t xml:space="preserve">有</w:t>
      </w:r>
      <w:r>
        <w:rPr>
          <w:rFonts w:hint="eastAsia" w:ascii="宋体" w:hAnsi="宋体" w:eastAsia="宋体" w:cs="Times New Roman"/>
          <w:color w:val="000000"/>
          <w:sz w:val="24"/>
          <w:highlight w:val="none"/>
          <w:lang w:val="zh-CN"/>
        </w:rPr>
        <w:t xml:space="preserve">运输车辆配置</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t xml:space="preserve">装卸设备及计划合理科学性一般得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分；无配置车辆或缺失供货计划的不得分。</w:t>
      </w:r>
      <w:r>
        <w:rPr>
          <w:rFonts w:hint="eastAsia" w:ascii="宋体" w:hAnsi="宋体" w:eastAsia="宋体" w:cs="Times New Roman"/>
          <w:color w:val="000000"/>
          <w:sz w:val="24"/>
          <w:highlight w:val="none"/>
          <w:lang w:val="zh-CN" w:eastAsia="zh-CN"/>
        </w:rPr>
        <w:t xml:space="preserve">（需提供车辆图片，车辆行驶证</w:t>
      </w:r>
      <w:r>
        <w:rPr>
          <w:rFonts w:hint="eastAsia" w:ascii="宋体" w:hAnsi="宋体" w:eastAsia="宋体" w:cs="Times New Roman"/>
          <w:color w:val="000000"/>
          <w:sz w:val="24"/>
          <w:highlight w:val="none"/>
          <w:lang w:val="en-US" w:eastAsia="zh-CN"/>
        </w:rPr>
        <w:t xml:space="preserve">扫描</w:t>
      </w:r>
      <w:r>
        <w:rPr>
          <w:rFonts w:hint="eastAsia" w:ascii="宋体" w:hAnsi="宋体" w:eastAsia="宋体" w:cs="Times New Roman"/>
          <w:color w:val="000000"/>
          <w:sz w:val="24"/>
          <w:highlight w:val="none"/>
          <w:lang w:val="zh-CN" w:eastAsia="zh-CN"/>
        </w:rPr>
        <w:t xml:space="preserve">件或租赁协议</w:t>
      </w:r>
      <w:r>
        <w:rPr>
          <w:rFonts w:hint="eastAsia" w:ascii="宋体" w:hAnsi="宋体" w:eastAsia="宋体" w:cs="Times New Roman"/>
          <w:color w:val="000000"/>
          <w:sz w:val="24"/>
          <w:highlight w:val="none"/>
          <w:lang w:val="en-US" w:eastAsia="zh-CN"/>
        </w:rPr>
        <w:t xml:space="preserve">扫描件</w:t>
      </w:r>
      <w:r>
        <w:rPr>
          <w:rFonts w:hint="eastAsia" w:ascii="宋体" w:hAnsi="宋体" w:eastAsia="宋体" w:cs="Times New Roman"/>
          <w:color w:val="000000"/>
          <w:sz w:val="24"/>
          <w:highlight w:val="none"/>
          <w:lang w:val="zh-CN" w:eastAsia="zh-CN"/>
        </w:rPr>
        <w:t xml:space="preserve">或中标后配备的承诺函原件，需提供加盖</w:t>
      </w:r>
      <w:r>
        <w:rPr>
          <w:rFonts w:hint="eastAsia" w:ascii="宋体" w:hAnsi="宋体" w:eastAsia="宋体" w:cs="Times New Roman"/>
          <w:color w:val="000000"/>
          <w:sz w:val="24"/>
          <w:highlight w:val="none"/>
          <w:lang w:val="en-US" w:eastAsia="zh-CN"/>
        </w:rPr>
        <w:t xml:space="preserve">投标单位</w:t>
      </w:r>
      <w:r>
        <w:rPr>
          <w:rFonts w:hint="eastAsia" w:ascii="宋体" w:hAnsi="宋体" w:eastAsia="宋体" w:cs="Times New Roman"/>
          <w:color w:val="000000"/>
          <w:sz w:val="24"/>
          <w:highlight w:val="none"/>
          <w:lang w:val="zh-CN" w:eastAsia="zh-CN"/>
        </w:rPr>
        <w:t xml:space="preserve">公章的证明材料，</w:t>
      </w:r>
      <w:r>
        <w:rPr>
          <w:rFonts w:hint="eastAsia" w:ascii="宋体" w:hAnsi="宋体" w:eastAsia="宋体" w:cs="Times New Roman"/>
          <w:color w:val="000000"/>
          <w:sz w:val="24"/>
          <w:highlight w:val="none"/>
          <w:lang w:val="en-US" w:eastAsia="zh-CN"/>
        </w:rPr>
        <w:t xml:space="preserve">提供装卸场地图片，其中</w:t>
      </w:r>
      <w:r>
        <w:rPr>
          <w:rFonts w:hint="eastAsia" w:ascii="宋体" w:hAnsi="宋体" w:eastAsia="宋体" w:cs="Times New Roman"/>
          <w:color w:val="000000"/>
          <w:sz w:val="24"/>
          <w:highlight w:val="none"/>
          <w:lang w:val="zh-CN" w:eastAsia="zh-CN"/>
        </w:rPr>
        <w:t xml:space="preserve">缺失、不符或不提供者，对应项不得分）</w:t>
      </w:r>
      <w:r>
        <w:rPr>
          <w:highlight w:val="none"/>
        </w:rPr>
      </w:r>
      <w:r/>
    </w:p>
    <w:p>
      <w:pPr>
        <w:pStyle w:val="879"/>
        <w:ind w:right="0" w:firstLine="42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）公司实力（</w:t>
      </w:r>
      <w:r>
        <w:rPr>
          <w:rFonts w:hint="eastAsia" w:ascii="宋体" w:hAnsi="宋体" w:cs="宋体"/>
          <w:b/>
          <w:bCs/>
          <w:color w:val="000000"/>
          <w:sz w:val="24"/>
          <w:szCs w:val="24"/>
          <w:highlight w:val="none"/>
          <w:lang w:val="en-US" w:eastAsia="zh-CN"/>
        </w:rPr>
        <w:t xml:space="preserve">23</w:t>
      </w:r>
      <w:r>
        <w:rPr>
          <w:rFonts w:hint="eastAsia" w:ascii="宋体" w:hAnsi="宋体" w:eastAsia="宋体" w:cs="宋体"/>
          <w:b/>
          <w:bCs/>
          <w:color w:val="000000"/>
          <w:sz w:val="24"/>
          <w:szCs w:val="24"/>
          <w:highlight w:val="none"/>
        </w:rPr>
        <w:t xml:space="preserve">分）</w:t>
      </w:r>
      <w:r>
        <w:rPr>
          <w:highlight w:val="none"/>
        </w:rPr>
      </w:r>
      <w:r/>
    </w:p>
    <w:p>
      <w:pPr>
        <w:pStyle w:val="879"/>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eastAsia="zh-CN"/>
        </w:rPr>
        <w:t xml:space="preserve">投标单位具有体系认证证书（6分）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投标人具有有效期内的质量管理体系、环境管理体系、职业健康安全管理体系</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食品安全管理体系</w:t>
      </w:r>
      <w:r>
        <w:rPr>
          <w:rFonts w:hint="eastAsia" w:ascii="宋体" w:hAnsi="宋体" w:eastAsia="宋体" w:cs="Times New Roman"/>
          <w:color w:val="000000"/>
          <w:sz w:val="24"/>
          <w:highlight w:val="none"/>
        </w:rPr>
        <w:t xml:space="preserve">的</w:t>
      </w:r>
      <w:r>
        <w:rPr>
          <w:rFonts w:hint="eastAsia" w:ascii="宋体" w:hAnsi="宋体" w:eastAsia="宋体" w:cs="Times New Roman"/>
          <w:color w:val="000000"/>
          <w:sz w:val="24"/>
          <w:highlight w:val="none"/>
          <w:lang w:eastAsia="zh-CN"/>
        </w:rPr>
        <w:t xml:space="preserve">、售后服务</w:t>
      </w:r>
      <w:r>
        <w:rPr>
          <w:rFonts w:hint="eastAsia" w:ascii="宋体" w:hAnsi="宋体" w:eastAsia="宋体" w:cs="Times New Roman"/>
          <w:color w:val="000000"/>
          <w:sz w:val="24"/>
          <w:highlight w:val="none"/>
          <w:lang w:val="en-US" w:eastAsia="zh-CN"/>
        </w:rPr>
        <w:t xml:space="preserve">管理体系</w:t>
      </w:r>
      <w:r>
        <w:rPr>
          <w:rFonts w:hint="eastAsia" w:ascii="宋体" w:hAnsi="宋体" w:eastAsia="宋体" w:cs="Times New Roman"/>
          <w:color w:val="000000"/>
          <w:sz w:val="24"/>
          <w:highlight w:val="none"/>
          <w:lang w:eastAsia="zh-CN"/>
        </w:rPr>
        <w:t xml:space="preserve">、HACCP管理体系认证证书，</w:t>
      </w:r>
      <w:r>
        <w:rPr>
          <w:rFonts w:hint="eastAsia" w:ascii="宋体" w:hAnsi="宋体" w:eastAsia="宋体" w:cs="Times New Roman"/>
          <w:color w:val="000000"/>
          <w:sz w:val="24"/>
          <w:highlight w:val="none"/>
        </w:rPr>
        <w:t xml:space="preserve">有一个得</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分，最高得</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文件中需</w:t>
      </w:r>
      <w:r>
        <w:rPr>
          <w:rFonts w:hint="eastAsia" w:ascii="宋体" w:hAnsi="宋体" w:eastAsia="宋体" w:cs="Times New Roman"/>
          <w:color w:val="000000"/>
          <w:sz w:val="24"/>
          <w:highlight w:val="none"/>
          <w:lang w:eastAsia="zh-CN"/>
        </w:rPr>
        <w:t xml:space="preserve">提供</w:t>
      </w:r>
      <w:r>
        <w:rPr>
          <w:rFonts w:hint="eastAsia" w:ascii="宋体" w:hAnsi="宋体" w:eastAsia="宋体" w:cs="Times New Roman"/>
          <w:color w:val="000000"/>
          <w:sz w:val="24"/>
          <w:highlight w:val="none"/>
        </w:rPr>
        <w:t xml:space="preserve">有效证书复印件或扫描件及证书在中国</w:t>
      </w:r>
      <w:r>
        <w:rPr>
          <w:rFonts w:hint="eastAsia" w:ascii="宋体" w:hAnsi="宋体" w:eastAsia="宋体" w:cs="Times New Roman"/>
          <w:color w:val="000000"/>
          <w:sz w:val="24"/>
          <w:highlight w:val="none"/>
          <w:lang w:eastAsia="zh-CN"/>
        </w:rPr>
        <w:t xml:space="preserve">国家认证认可监督管理委员会</w:t>
      </w:r>
      <w:r>
        <w:rPr>
          <w:rFonts w:hint="eastAsia" w:ascii="宋体" w:hAnsi="宋体" w:eastAsia="宋体" w:cs="Times New Roman"/>
          <w:color w:val="000000"/>
          <w:sz w:val="24"/>
          <w:highlight w:val="none"/>
        </w:rPr>
        <w:t xml:space="preserve">网站（www.cnca.gov.cn）查询有效的完整网页截图并加盖供应商公章，缺失、不符或不提供者，对应项不得分）。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、投标单位投保食品安全责任险</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5分</w:t>
      </w:r>
      <w:r>
        <w:rPr>
          <w:rFonts w:hint="eastAsia" w:ascii="宋体" w:hAnsi="宋体" w:eastAsia="宋体" w:cs="Times New Roman"/>
          <w:color w:val="000000"/>
          <w:sz w:val="24"/>
          <w:highlight w:val="none"/>
          <w:lang w:eastAsia="zh-CN"/>
        </w:rPr>
        <w:t xml:space="preserve">）</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投标单位投保食品安全责任险（</w:t>
      </w:r>
      <w:r>
        <w:rPr>
          <w:rFonts w:hint="eastAsia" w:ascii="宋体" w:hAnsi="宋体" w:eastAsia="宋体" w:cs="Times New Roman"/>
          <w:color w:val="000000"/>
          <w:sz w:val="24"/>
          <w:highlight w:val="none"/>
          <w:lang w:val="en-US" w:eastAsia="zh-CN"/>
        </w:rPr>
        <w:t xml:space="preserve">保额1000万元及以上</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保额500万（含）-1000万元的，得3分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文件中提供有效期内的保险单据</w:t>
      </w:r>
      <w:r>
        <w:rPr>
          <w:rFonts w:hint="eastAsia" w:ascii="宋体" w:hAnsi="宋体" w:eastAsia="宋体" w:cs="Times New Roman"/>
          <w:color w:val="000000"/>
          <w:sz w:val="24"/>
          <w:highlight w:val="none"/>
          <w:lang w:val="en-US" w:eastAsia="zh-CN"/>
        </w:rPr>
        <w:t xml:space="preserve">扫描</w:t>
      </w:r>
      <w:r>
        <w:rPr>
          <w:rFonts w:hint="eastAsia" w:ascii="宋体" w:hAnsi="宋体" w:eastAsia="宋体" w:cs="Times New Roman"/>
          <w:color w:val="000000"/>
          <w:sz w:val="24"/>
          <w:highlight w:val="none"/>
        </w:rPr>
        <w:t xml:space="preserve">件，</w:t>
      </w:r>
      <w:r>
        <w:rPr>
          <w:rFonts w:hint="eastAsia" w:ascii="宋体" w:hAnsi="宋体" w:eastAsia="宋体" w:cs="Times New Roman"/>
          <w:color w:val="000000"/>
          <w:sz w:val="24"/>
          <w:highlight w:val="none"/>
          <w:lang w:eastAsia="zh-CN"/>
        </w:rPr>
        <w:t xml:space="preserve">需提供加盖公章的证明材料，缺失、不符或不提供者，对应项不得分</w:t>
      </w:r>
      <w:r>
        <w:rPr>
          <w:rFonts w:hint="eastAsia" w:ascii="宋体" w:hAnsi="宋体" w:eastAsia="宋体" w:cs="Times New Roman"/>
          <w:color w:val="000000"/>
          <w:sz w:val="24"/>
          <w:highlight w:val="none"/>
        </w:rPr>
        <w:t xml:space="preserve">）</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投标单位</w:t>
      </w:r>
      <w:r>
        <w:rPr>
          <w:rFonts w:hint="eastAsia" w:ascii="宋体" w:hAnsi="宋体" w:eastAsia="宋体" w:cs="Times New Roman"/>
          <w:color w:val="000000"/>
          <w:sz w:val="24"/>
          <w:highlight w:val="none"/>
        </w:rPr>
        <w:t xml:space="preserve">完成类似业绩情况（</w:t>
      </w:r>
      <w:r>
        <w:rPr>
          <w:rFonts w:hint="eastAsia" w:ascii="宋体" w:hAnsi="宋体" w:eastAsia="宋体" w:cs="Times New Roman"/>
          <w:color w:val="000000"/>
          <w:sz w:val="24"/>
          <w:highlight w:val="none"/>
          <w:lang w:val="en-US" w:eastAsia="zh-CN"/>
        </w:rPr>
        <w:t xml:space="preserve">12</w:t>
      </w:r>
      <w:r>
        <w:rPr>
          <w:rFonts w:hint="eastAsia" w:ascii="宋体" w:hAnsi="宋体" w:eastAsia="宋体" w:cs="Times New Roman"/>
          <w:color w:val="000000"/>
          <w:sz w:val="24"/>
          <w:highlight w:val="none"/>
        </w:rPr>
        <w:t xml:space="preserve">分）</w:t>
      </w:r>
      <w:r>
        <w:rPr>
          <w:highlight w:val="none"/>
        </w:rPr>
      </w:r>
      <w:r/>
    </w:p>
    <w:p>
      <w:pPr>
        <w:pStyle w:val="879"/>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投标单位</w:t>
      </w:r>
      <w:r>
        <w:rPr>
          <w:rFonts w:hint="eastAsia" w:ascii="宋体" w:hAnsi="宋体" w:eastAsia="宋体" w:cs="Times New Roman"/>
          <w:color w:val="000000"/>
          <w:sz w:val="24"/>
          <w:highlight w:val="none"/>
        </w:rPr>
        <w:t xml:space="preserve">20</w:t>
      </w:r>
      <w:r>
        <w:rPr>
          <w:rFonts w:hint="eastAsia" w:ascii="宋体" w:hAnsi="宋体" w:eastAsia="宋体" w:cs="Times New Roman"/>
          <w:color w:val="000000"/>
          <w:sz w:val="24"/>
          <w:highlight w:val="none"/>
          <w:lang w:val="en-US" w:eastAsia="zh-CN"/>
        </w:rPr>
        <w:t xml:space="preserve">22</w:t>
      </w:r>
      <w:r>
        <w:rPr>
          <w:rFonts w:hint="eastAsia" w:ascii="宋体" w:hAnsi="宋体" w:eastAsia="宋体" w:cs="Times New Roman"/>
          <w:color w:val="000000"/>
          <w:sz w:val="24"/>
          <w:highlight w:val="none"/>
        </w:rPr>
        <w:t xml:space="preserve">年</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月</w:t>
      </w:r>
      <w:r>
        <w:rPr>
          <w:rFonts w:hint="eastAsia" w:ascii="宋体" w:hAnsi="宋体" w:eastAsia="宋体" w:cs="Times New Roman"/>
          <w:color w:val="000000"/>
          <w:sz w:val="24"/>
          <w:highlight w:val="none"/>
          <w:lang w:val="en-US" w:eastAsia="zh-CN"/>
        </w:rPr>
        <w:t xml:space="preserve">1日</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以合同签订时间为准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以来已完成类似项目的比较：每提供一份有效合同得</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分，最高得</w:t>
      </w:r>
      <w:r>
        <w:rPr>
          <w:rFonts w:hint="eastAsia" w:ascii="宋体" w:hAnsi="宋体" w:eastAsia="宋体" w:cs="Times New Roman"/>
          <w:color w:val="000000"/>
          <w:sz w:val="24"/>
          <w:highlight w:val="none"/>
          <w:lang w:val="en-US" w:eastAsia="zh-CN"/>
        </w:rPr>
        <w:t xml:space="preserve">12</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文件中提供服务合同、服务期内任意一个月往来发票</w:t>
      </w:r>
      <w:r>
        <w:rPr>
          <w:rFonts w:hint="eastAsia" w:ascii="宋体" w:hAnsi="宋体" w:eastAsia="宋体" w:cs="Times New Roman"/>
          <w:color w:val="000000"/>
          <w:sz w:val="24"/>
          <w:highlight w:val="none"/>
          <w:lang w:val="en-US" w:eastAsia="zh-CN"/>
        </w:rPr>
        <w:t xml:space="preserve">扫描</w:t>
      </w:r>
      <w:r>
        <w:rPr>
          <w:rFonts w:hint="eastAsia" w:ascii="宋体" w:hAnsi="宋体" w:eastAsia="宋体" w:cs="Times New Roman"/>
          <w:color w:val="000000"/>
          <w:sz w:val="24"/>
          <w:highlight w:val="none"/>
        </w:rPr>
        <w:t xml:space="preserve">件，且投标文件中的发票内容清晰完整</w:t>
      </w:r>
      <w:r>
        <w:rPr>
          <w:rFonts w:hint="eastAsia" w:ascii="宋体" w:hAnsi="宋体" w:eastAsia="宋体" w:cs="Times New Roman"/>
          <w:color w:val="000000"/>
          <w:sz w:val="24"/>
          <w:highlight w:val="none"/>
          <w:lang w:eastAsia="zh-CN"/>
        </w:rPr>
        <w:t xml:space="preserve">，需提供加盖公章的证明材料，缺失、不符或不提供者，对应项不得分</w:t>
      </w:r>
      <w:r>
        <w:rPr>
          <w:rFonts w:hint="eastAsia" w:ascii="宋体" w:hAnsi="宋体" w:eastAsia="宋体" w:cs="Times New Roman"/>
          <w:color w:val="000000"/>
          <w:sz w:val="24"/>
          <w:highlight w:val="none"/>
        </w:rPr>
        <w:t xml:space="preserve">）</w:t>
      </w:r>
      <w:r>
        <w:rPr>
          <w:highlight w:val="none"/>
        </w:rPr>
      </w:r>
      <w:r/>
    </w:p>
    <w:p>
      <w:pPr>
        <w:pStyle w:val="879"/>
        <w:spacing w:line="360" w:lineRule="auto"/>
        <w:rPr>
          <w:b/>
          <w:highlight w:val="none"/>
        </w:rPr>
      </w:pPr>
      <w:r>
        <w:rPr>
          <w:b/>
          <w:highlight w:val="none"/>
        </w:rPr>
      </w:r>
      <w:r>
        <w:rPr>
          <w:highlight w:val="none"/>
        </w:rPr>
      </w:r>
      <w:r/>
    </w:p>
    <w:p>
      <w:pPr>
        <w:pStyle w:val="879"/>
        <w:spacing w:line="360" w:lineRule="auto"/>
        <w:rPr>
          <w:b/>
          <w:highlight w:val="none"/>
        </w:rPr>
      </w:pPr>
      <w:r>
        <w:rPr>
          <w:b/>
          <w:highlight w:val="none"/>
        </w:rPr>
      </w:r>
      <w:r>
        <w:rPr>
          <w:highlight w:val="none"/>
        </w:rPr>
      </w:r>
      <w:r/>
    </w:p>
    <w:p>
      <w:pPr>
        <w:pStyle w:val="879"/>
        <w:spacing w:line="360" w:lineRule="auto"/>
        <w:rPr>
          <w:rFonts w:ascii="宋体" w:hAnsi="宋体"/>
          <w:sz w:val="24"/>
          <w:highlight w:val="none"/>
        </w:rPr>
      </w:pPr>
      <w:r>
        <w:rPr>
          <w:b/>
          <w:highlight w:val="none"/>
        </w:rPr>
        <w:br w:type="page" w:clear="all"/>
      </w:r>
      <w:r>
        <w:rPr>
          <w:highlight w:val="none"/>
        </w:rPr>
      </w:r>
      <w:r/>
    </w:p>
    <w:p>
      <w:pPr>
        <w:pStyle w:val="1164"/>
        <w:jc w:val="center"/>
        <w:rPr>
          <w:rFonts w:hint="eastAsia" w:ascii="黑体" w:hAnsi="宋体" w:eastAsia="黑体"/>
          <w:szCs w:val="16"/>
          <w:highlight w:val="none"/>
        </w:rPr>
      </w:pPr>
      <w:r>
        <w:rPr>
          <w:highlight w:val="none"/>
        </w:rPr>
      </w:r>
      <w:bookmarkStart w:id="19" w:name="_Toc14752"/>
      <w:r>
        <w:rPr>
          <w:rFonts w:hint="eastAsia" w:ascii="黑体" w:hAnsi="宋体" w:eastAsia="黑体"/>
          <w:szCs w:val="16"/>
          <w:highlight w:val="none"/>
        </w:rPr>
        <w:t xml:space="preserve">第六章  磋商响应文件格式</w:t>
      </w:r>
      <w:bookmarkEnd w:id="19"/>
      <w:r>
        <w:rPr>
          <w:highlight w:val="none"/>
        </w:rPr>
      </w:r>
      <w:r/>
    </w:p>
    <w:p>
      <w:pPr>
        <w:pStyle w:val="1259"/>
        <w:ind w:firstLine="0"/>
        <w:spacing w:line="360" w:lineRule="auto"/>
        <w:rPr>
          <w:rFonts w:ascii="宋体" w:hAnsi="宋体"/>
          <w:color w:val="000000"/>
          <w:highlight w:val="none"/>
        </w:rPr>
      </w:pPr>
      <w:r>
        <w:rPr>
          <w:rFonts w:hint="eastAsia" w:ascii="宋体" w:hAnsi="宋体"/>
          <w:color w:val="000000"/>
          <w:highlight w:val="none"/>
        </w:rPr>
        <w:t xml:space="preserve">说明：</w:t>
      </w:r>
      <w:r>
        <w:rPr>
          <w:highlight w:val="none"/>
        </w:rPr>
      </w:r>
      <w:r/>
    </w:p>
    <w:p>
      <w:pPr>
        <w:pStyle w:val="1259"/>
        <w:ind w:firstLine="480"/>
        <w:spacing w:line="360" w:lineRule="auto"/>
        <w:rPr>
          <w:rFonts w:ascii="宋体" w:hAnsi="宋体"/>
          <w:color w:val="000000"/>
          <w:highlight w:val="none"/>
        </w:rPr>
      </w:pPr>
      <w:r>
        <w:rPr>
          <w:rFonts w:hint="eastAsia" w:ascii="宋体" w:hAnsi="宋体"/>
          <w:color w:val="000000"/>
          <w:highlight w:val="none"/>
        </w:rPr>
        <w:t xml:space="preserve">对本章所有的格式，磋商供应商可根据自身情况进行补充和修改，但补充和修改不得造成与本格式内容有实质性的违背。</w:t>
      </w:r>
      <w:r>
        <w:rPr>
          <w:highlight w:val="none"/>
        </w:rPr>
      </w:r>
      <w:r/>
    </w:p>
    <w:p>
      <w:pPr>
        <w:pStyle w:val="1259"/>
        <w:ind w:firstLine="0"/>
        <w:spacing w:line="360" w:lineRule="auto"/>
        <w:rPr>
          <w:rFonts w:ascii="宋体" w:hAnsi="宋体"/>
          <w:color w:val="000000"/>
          <w:highlight w:val="none"/>
        </w:rPr>
        <w:outlineLvl w:val="1"/>
      </w:pPr>
      <w:r>
        <w:rPr>
          <w:rFonts w:ascii="宋体" w:hAnsi="宋体"/>
          <w:color w:val="000000"/>
          <w:highlight w:val="none"/>
        </w:rPr>
        <w:t xml:space="preserve">1</w:t>
      </w:r>
      <w:r>
        <w:rPr>
          <w:rFonts w:hint="eastAsia" w:ascii="宋体" w:hAnsi="宋体"/>
          <w:color w:val="000000"/>
          <w:highlight w:val="none"/>
        </w:rPr>
        <w:t xml:space="preserve">、（供应商）法定代表人授权委托书</w:t>
      </w:r>
      <w:r>
        <w:rPr>
          <w:highlight w:val="none"/>
        </w:rPr>
      </w:r>
      <w:r/>
    </w:p>
    <w:p>
      <w:pPr>
        <w:pStyle w:val="87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法人授权委托书</w:t>
      </w:r>
      <w:r>
        <w:rPr>
          <w:highlight w:val="none"/>
        </w:rPr>
      </w:r>
      <w:r/>
    </w:p>
    <w:p>
      <w:pPr>
        <w:pStyle w:val="1259"/>
        <w:ind w:firstLine="0"/>
        <w:jc w:val="center"/>
        <w:spacing w:line="360" w:lineRule="auto"/>
        <w:rPr>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8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  （供应商名称）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 （被授权人的姓名）</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rPr>
        <w:t xml:space="preserve">江苏至衡诚达工程咨询有限公司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的竞争性磋商采购。代理人在本次磋商活动过程、合同签订及处理有关事宜所作出的全部意思表示（包括签署的全部文件），我司均予以承认并由我司承担相应法律后果。</w:t>
      </w:r>
      <w:r>
        <w:rPr>
          <w:highlight w:val="none"/>
        </w:rPr>
      </w:r>
      <w:r/>
    </w:p>
    <w:p>
      <w:pPr>
        <w:pStyle w:val="8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r/>
    </w:p>
    <w:p>
      <w:pPr>
        <w:pStyle w:val="8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highlight w:val="none"/>
        </w:rPr>
      </w:r>
      <w:r/>
    </w:p>
    <w:p>
      <w:pPr>
        <w:pStyle w:val="8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highlight w:val="none"/>
        </w:rPr>
      </w:r>
      <w:r/>
    </w:p>
    <w:p>
      <w:pPr>
        <w:pStyle w:val="8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highlight w:val="none"/>
        </w:rPr>
      </w:r>
      <w:r/>
    </w:p>
    <w:p>
      <w:pPr>
        <w:pStyle w:val="87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highlight w:val="none"/>
        </w:rPr>
      </w:r>
      <w:r/>
    </w:p>
    <w:p>
      <w:pPr>
        <w:pStyle w:val="879"/>
        <w:ind w:right="63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供应商名称：（加盖CA电子公章）                                    </w:t>
      </w:r>
      <w:r>
        <w:rPr>
          <w:highlight w:val="none"/>
        </w:rPr>
      </w:r>
      <w:r/>
    </w:p>
    <w:p>
      <w:pPr>
        <w:pStyle w:val="879"/>
        <w:ind w:right="63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highlight w:val="none"/>
        </w:rPr>
      </w:r>
      <w:r/>
    </w:p>
    <w:p>
      <w:pPr>
        <w:pStyle w:val="879"/>
        <w:jc w:val="left"/>
        <w:widowControl/>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79"/>
        <w:jc w:val="lef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备注：供应商如有授权委托，必须提供该法人授权委托书及法人和代理人的身份证，否则响应无效；</w:t>
      </w:r>
      <w:r>
        <w:rPr>
          <w:highlight w:val="none"/>
        </w:rPr>
      </w:r>
      <w:r/>
    </w:p>
    <w:p>
      <w:pPr>
        <w:pStyle w:val="1260"/>
        <w:ind w:firstLine="482"/>
        <w:jc w:val="both"/>
        <w:spacing w:before="0" w:beforeAutospacing="0" w:after="0" w:afterAutospacing="0" w:line="360" w:lineRule="auto"/>
        <w:rPr>
          <w:rFonts w:hint="eastAsia" w:cs="宋体"/>
          <w:color w:val="000000"/>
          <w:highlight w:val="none"/>
        </w:rPr>
      </w:pPr>
      <w:r>
        <w:rPr>
          <w:rFonts w:hint="eastAsia" w:cs="宋体"/>
          <w:b/>
          <w:color w:val="000000"/>
          <w:highlight w:val="none"/>
        </w:rPr>
        <w:t xml:space="preserve">供应商无授权委托的情况下，必须提供法定代表人身份证，否则响应无效。</w:t>
      </w:r>
      <w:r>
        <w:rPr>
          <w:highlight w:val="none"/>
        </w:rPr>
      </w:r>
      <w:r/>
    </w:p>
    <w:p>
      <w:pPr>
        <w:pStyle w:val="1259"/>
        <w:ind w:firstLine="0"/>
        <w:jc w:val="left"/>
        <w:spacing w:line="360" w:lineRule="auto"/>
        <w:rPr>
          <w:rFonts w:ascii="宋体" w:hAnsi="宋体"/>
          <w:color w:val="000000"/>
          <w:highlight w:val="none"/>
        </w:rPr>
        <w:outlineLvl w:val="1"/>
      </w:pPr>
      <w:r>
        <w:rPr>
          <w:rFonts w:ascii="宋体" w:hAnsi="宋体"/>
          <w:color w:val="000000"/>
          <w:highlight w:val="none"/>
        </w:rPr>
        <w:br w:type="page" w:clear="all"/>
      </w:r>
      <w:r>
        <w:rPr>
          <w:rFonts w:ascii="宋体" w:hAnsi="宋体"/>
          <w:color w:val="000000"/>
          <w:highlight w:val="none"/>
        </w:rPr>
        <w:t xml:space="preserve">2</w:t>
      </w:r>
      <w:r>
        <w:rPr>
          <w:rFonts w:hint="eastAsia" w:ascii="宋体" w:hAnsi="宋体"/>
          <w:color w:val="000000"/>
          <w:highlight w:val="none"/>
        </w:rPr>
        <w:t xml:space="preserve">、</w:t>
      </w:r>
      <w:r>
        <w:rPr>
          <w:rStyle w:val="968"/>
          <w:rFonts w:hint="eastAsia" w:ascii="宋体" w:hAnsi="宋体"/>
          <w:color w:val="000000"/>
          <w:sz w:val="24"/>
          <w:highlight w:val="none"/>
        </w:rPr>
        <w:t xml:space="preserve">磋商响应函</w:t>
      </w:r>
      <w:r>
        <w:rPr>
          <w:highlight w:val="none"/>
        </w:rPr>
      </w:r>
      <w:r/>
    </w:p>
    <w:p>
      <w:pPr>
        <w:pStyle w:val="1259"/>
        <w:jc w:val="center"/>
        <w:spacing w:line="360" w:lineRule="auto"/>
        <w:rPr>
          <w:rFonts w:ascii="宋体" w:hAnsi="宋体"/>
          <w:color w:val="000000"/>
          <w:highlight w:val="none"/>
        </w:rPr>
        <w:outlineLvl w:val="1"/>
      </w:pPr>
      <w:r>
        <w:rPr>
          <w:rFonts w:hint="eastAsia" w:ascii="宋体" w:hAnsi="宋体"/>
          <w:color w:val="000000"/>
          <w:highlight w:val="none"/>
        </w:rPr>
        <w:t xml:space="preserve">磋商响应函</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u w:val="single"/>
        </w:rPr>
        <w:t xml:space="preserve">江苏至衡诚达工程咨询有限公司</w:t>
      </w:r>
      <w:r>
        <w:rPr>
          <w:rFonts w:hint="eastAsia" w:ascii="宋体" w:hAnsi="宋体"/>
          <w:color w:val="000000"/>
          <w:highlight w:val="none"/>
        </w:rPr>
        <w:t xml:space="preserve">：</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我们收到贵公司</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 xml:space="preserve">号磋商邀请函，经仔细阅读和研究，我们决定参加该次磋商活动。</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1、我们愿意按照磋商采购邀请函的一切要求，提供包括但不限于全部所需布置设备、劳务、管理、材料、安装、调试、垃圾清扫和搬运、成品保护、建筑物修复、整改、验收、利润、税金、政策性文件规定及本项目包含的所有风险、责任、代理服务费等各项应有费用。</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2、如果我们磋商商务被接受，我们将严格履行磋商邀请函中规定的每一项要求，按期、按质、按量履行合同的义务。</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3、我们愿意提供邀请方在磋商采购文件中要求的所有资料。</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4、我们认为你们有权决定成交人者，还认为你们有权接受或拒绝所有的磋商供应商。</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5、我们愿意遵守磋商采购文件中所列的收费标准。</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6、如果我们成交，我们愿意在签订合同时按前附表规定的支付成交服务费。</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7、综合说明：</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（1）供应商应提供详细的伴随服务及配合措施清单，并明确双方的职责和责任，以确保工程的顺利实施；</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（2）要求采购单位提供的配合；</w:t>
      </w:r>
      <w:r>
        <w:rPr>
          <w:highlight w:val="none"/>
        </w:rPr>
      </w:r>
      <w:r/>
    </w:p>
    <w:p>
      <w:pPr>
        <w:pStyle w:val="1259"/>
        <w:ind w:firstLine="480"/>
        <w:jc w:val="left"/>
        <w:spacing w:line="360" w:lineRule="auto"/>
        <w:rPr>
          <w:rFonts w:hint="eastAsia" w:ascii="宋体" w:hAnsi="宋体"/>
          <w:color w:val="000000"/>
          <w:highlight w:val="none"/>
        </w:rPr>
        <w:outlineLvl w:val="1"/>
      </w:pPr>
      <w:r>
        <w:rPr>
          <w:rFonts w:ascii="宋体" w:hAnsi="宋体"/>
          <w:color w:val="000000"/>
          <w:highlight w:val="none"/>
        </w:rPr>
        <w:t xml:space="preserve">（3）其</w:t>
      </w:r>
      <w:r>
        <w:rPr>
          <w:rFonts w:ascii="宋体" w:hAnsi="宋体" w:cs="宋体"/>
          <w:color w:val="000000"/>
          <w:highlight w:val="none"/>
        </w:rPr>
        <w:t xml:space="preserve">他</w:t>
      </w:r>
      <w:r>
        <w:rPr>
          <w:rFonts w:ascii="宋体" w:hAnsi="宋体"/>
          <w:color w:val="000000"/>
          <w:highlight w:val="none"/>
        </w:rPr>
        <w:t xml:space="preserve">说明。</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单位：</w:t>
      </w:r>
      <w:r>
        <w:rPr>
          <w:rFonts w:hint="eastAsia" w:ascii="宋体" w:hAnsi="宋体"/>
          <w:color w:val="000000"/>
          <w:highlight w:val="none"/>
          <w:lang w:val="en-US" w:eastAsia="zh-CN"/>
        </w:rPr>
        <w:t xml:space="preserve">                              </w:t>
      </w:r>
      <w:r>
        <w:rPr>
          <w:rFonts w:hint="eastAsia" w:ascii="宋体" w:hAnsi="宋体"/>
          <w:color w:val="000000"/>
          <w:highlight w:val="none"/>
        </w:rPr>
        <w:t xml:space="preserve">联系人：</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地址：</w:t>
      </w:r>
      <w:r>
        <w:rPr>
          <w:rFonts w:hint="eastAsia" w:ascii="宋体" w:hAnsi="宋体"/>
          <w:color w:val="000000"/>
          <w:highlight w:val="none"/>
          <w:lang w:val="en-US" w:eastAsia="zh-CN"/>
        </w:rPr>
        <w:t xml:space="preserve">                              </w:t>
      </w:r>
      <w:r>
        <w:rPr>
          <w:rFonts w:hint="eastAsia" w:ascii="宋体" w:hAnsi="宋体"/>
          <w:color w:val="000000"/>
          <w:highlight w:val="none"/>
        </w:rPr>
        <w:t xml:space="preserve">邮政编码：</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联系电话：</w:t>
      </w:r>
      <w:r>
        <w:rPr>
          <w:rFonts w:hint="eastAsia" w:ascii="宋体" w:hAnsi="宋体"/>
          <w:color w:val="000000"/>
          <w:highlight w:val="none"/>
          <w:lang w:val="en-US" w:eastAsia="zh-CN"/>
        </w:rPr>
        <w:t xml:space="preserve">                          </w:t>
      </w:r>
      <w:r>
        <w:rPr>
          <w:rFonts w:hint="eastAsia" w:ascii="宋体" w:hAnsi="宋体"/>
          <w:color w:val="000000"/>
          <w:highlight w:val="none"/>
        </w:rPr>
        <w:t xml:space="preserve">传真：</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olor w:val="000000"/>
          <w:highlight w:val="none"/>
        </w:rPr>
        <w:t xml:space="preserve">法定代表人或授权委托人：（签字或盖章）</w:t>
      </w:r>
      <w:r>
        <w:rPr>
          <w:highlight w:val="none"/>
        </w:rPr>
      </w:r>
      <w:r/>
    </w:p>
    <w:p>
      <w:pPr>
        <w:pStyle w:val="879"/>
        <w:ind w:right="63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供应商名称：（加盖CA电子公章）</w:t>
      </w:r>
      <w:r>
        <w:rPr>
          <w:highlight w:val="none"/>
        </w:rPr>
      </w:r>
      <w:r/>
    </w:p>
    <w:p>
      <w:pPr>
        <w:pStyle w:val="1259"/>
        <w:ind w:firstLine="480"/>
        <w:jc w:val="left"/>
        <w:spacing w:line="360" w:lineRule="auto"/>
        <w:rPr>
          <w:rFonts w:hint="eastAsia" w:ascii="宋体" w:hAnsi="宋体"/>
          <w:color w:val="000000"/>
          <w:highlight w:val="none"/>
        </w:rPr>
        <w:outlineLvl w:val="1"/>
      </w:pPr>
      <w:r>
        <w:rPr>
          <w:rFonts w:hint="eastAsia" w:ascii="宋体" w:hAnsi="宋体" w:cs="宋体"/>
          <w:color w:val="000000"/>
          <w:highlight w:val="none"/>
        </w:rPr>
        <w:t xml:space="preserve">日期：　　　　年　　  月　　  日</w:t>
      </w:r>
      <w:r>
        <w:rPr>
          <w:highlight w:val="none"/>
        </w:rPr>
      </w:r>
      <w:r/>
    </w:p>
    <w:p>
      <w:pPr>
        <w:pStyle w:val="1258"/>
        <w:ind w:firstLine="0"/>
        <w:jc w:val="both"/>
        <w:spacing w:line="360" w:lineRule="auto"/>
        <w:rPr>
          <w:rFonts w:ascii="宋体" w:hAnsi="宋体" w:eastAsia="宋体" w:cs="宋体"/>
          <w:color w:val="000000"/>
          <w:highlight w:val="none"/>
        </w:rPr>
        <w:outlineLvl w:val="1"/>
      </w:pPr>
      <w:r>
        <w:rPr>
          <w:rFonts w:hint="eastAsia" w:ascii="宋体" w:hAnsi="宋体" w:eastAsia="宋体"/>
          <w:color w:val="000000"/>
          <w:szCs w:val="24"/>
          <w:highlight w:val="none"/>
        </w:rPr>
        <w:br w:type="page" w:clear="all"/>
      </w:r>
      <w:r>
        <w:rPr>
          <w:rFonts w:hint="eastAsia" w:ascii="宋体" w:hAnsi="宋体" w:eastAsia="宋体" w:cs="宋体"/>
          <w:color w:val="000000"/>
          <w:szCs w:val="24"/>
          <w:highlight w:val="none"/>
        </w:rPr>
        <w:t xml:space="preserve">3、磋商报价表</w:t>
      </w:r>
      <w:r>
        <w:rPr>
          <w:highlight w:val="none"/>
        </w:rPr>
      </w:r>
      <w:r/>
    </w:p>
    <w:p>
      <w:pPr>
        <w:pStyle w:val="879"/>
        <w:spacing w:line="360" w:lineRule="auto"/>
        <w:rPr>
          <w:rFonts w:ascii="宋体" w:hAnsi="宋体" w:cs="宋体"/>
          <w:sz w:val="24"/>
          <w:highlight w:val="none"/>
        </w:rPr>
      </w:pPr>
      <w:r>
        <w:rPr>
          <w:rFonts w:hint="eastAsia" w:ascii="宋体" w:hAnsi="宋体" w:cs="宋体"/>
          <w:sz w:val="24"/>
          <w:highlight w:val="none"/>
          <w:lang w:val="zh-CN"/>
        </w:rPr>
        <w:t xml:space="preserve">采购编号：</w:t>
      </w:r>
      <w:r>
        <w:rPr>
          <w:highlight w:val="none"/>
        </w:rPr>
      </w:r>
      <w:r/>
    </w:p>
    <w:tbl>
      <w:tblPr>
        <w:tblW w:w="9453" w:type="dxa"/>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61"/>
        <w:gridCol w:w="1842"/>
        <w:gridCol w:w="2268"/>
        <w:gridCol w:w="1974"/>
      </w:tblGrid>
      <w:tr>
        <w:trPr>
          <w:trHeight w:val="465"/>
        </w:trPr>
        <w:tc>
          <w:tcPr>
            <w:tcW w:w="1008" w:type="dxa"/>
            <w:vAlign w:val="center"/>
            <w:textDirection w:val="lrTb"/>
            <w:noWrap w:val="false"/>
          </w:tcPr>
          <w:p>
            <w:pPr>
              <w:pStyle w:val="879"/>
              <w:jc w:val="center"/>
              <w:rPr>
                <w:rFonts w:ascii="宋体" w:hAnsi="宋体" w:cs="宋体"/>
                <w:sz w:val="24"/>
                <w:highlight w:val="none"/>
              </w:rPr>
            </w:pPr>
            <w:r>
              <w:rPr>
                <w:rFonts w:hint="eastAsia" w:ascii="宋体" w:hAnsi="宋体" w:cs="宋体"/>
                <w:sz w:val="24"/>
                <w:highlight w:val="none"/>
                <w:lang w:val="zh-CN"/>
              </w:rPr>
              <w:t xml:space="preserve">序号</w:t>
            </w:r>
            <w:r>
              <w:rPr>
                <w:highlight w:val="none"/>
              </w:rPr>
            </w:r>
            <w:r/>
          </w:p>
        </w:tc>
        <w:tc>
          <w:tcPr>
            <w:tcW w:w="2361" w:type="dxa"/>
            <w:vAlign w:val="center"/>
            <w:textDirection w:val="lrTb"/>
            <w:noWrap w:val="false"/>
          </w:tcPr>
          <w:p>
            <w:pPr>
              <w:pStyle w:val="879"/>
              <w:jc w:val="center"/>
              <w:rPr>
                <w:rFonts w:ascii="宋体" w:hAnsi="宋体" w:cs="宋体"/>
                <w:sz w:val="24"/>
                <w:highlight w:val="none"/>
              </w:rPr>
            </w:pPr>
            <w:r>
              <w:rPr>
                <w:rFonts w:hint="eastAsia" w:ascii="宋体" w:hAnsi="宋体" w:cs="宋体"/>
                <w:sz w:val="24"/>
                <w:highlight w:val="none"/>
                <w:lang w:val="zh-CN"/>
              </w:rPr>
              <w:t xml:space="preserve">项目名称</w:t>
            </w:r>
            <w:r>
              <w:rPr>
                <w:highlight w:val="none"/>
              </w:rPr>
            </w:r>
            <w:r/>
          </w:p>
        </w:tc>
        <w:tc>
          <w:tcPr>
            <w:tcW w:w="1842" w:type="dxa"/>
            <w:vAlign w:val="center"/>
            <w:textDirection w:val="lrTb"/>
            <w:noWrap w:val="false"/>
          </w:tcPr>
          <w:p>
            <w:pPr>
              <w:pStyle w:val="879"/>
              <w:jc w:val="center"/>
              <w:rPr>
                <w:rFonts w:ascii="宋体" w:hAnsi="宋体" w:cs="宋体"/>
                <w:sz w:val="24"/>
                <w:highlight w:val="none"/>
              </w:rPr>
            </w:pPr>
            <w:r>
              <w:rPr>
                <w:rFonts w:hint="eastAsia" w:ascii="宋体" w:hAnsi="宋体" w:cs="宋体"/>
                <w:sz w:val="24"/>
                <w:highlight w:val="none"/>
              </w:rPr>
              <w:t xml:space="preserve">下浮率（%）</w:t>
            </w:r>
            <w:r>
              <w:rPr>
                <w:highlight w:val="none"/>
              </w:rPr>
            </w:r>
            <w:r/>
          </w:p>
        </w:tc>
        <w:tc>
          <w:tcPr>
            <w:tcW w:w="2268" w:type="dxa"/>
            <w:vAlign w:val="center"/>
            <w:textDirection w:val="lrTb"/>
            <w:noWrap w:val="false"/>
          </w:tcPr>
          <w:p>
            <w:pPr>
              <w:pStyle w:val="879"/>
              <w:jc w:val="center"/>
              <w:rPr>
                <w:rFonts w:ascii="宋体" w:hAnsi="宋体" w:cs="宋体"/>
                <w:sz w:val="24"/>
                <w:highlight w:val="none"/>
              </w:rPr>
            </w:pPr>
            <w:r>
              <w:rPr>
                <w:rFonts w:hint="eastAsia" w:ascii="宋体" w:hAnsi="宋体" w:cs="宋体"/>
                <w:bCs/>
                <w:sz w:val="24"/>
                <w:highlight w:val="none"/>
              </w:rPr>
              <w:t xml:space="preserve">服务期限</w:t>
            </w:r>
            <w:r>
              <w:rPr>
                <w:highlight w:val="none"/>
              </w:rPr>
            </w:r>
            <w:r/>
          </w:p>
        </w:tc>
        <w:tc>
          <w:tcPr>
            <w:tcW w:w="1974" w:type="dxa"/>
            <w:vAlign w:val="center"/>
            <w:textDirection w:val="lrTb"/>
            <w:noWrap w:val="false"/>
          </w:tcPr>
          <w:p>
            <w:pPr>
              <w:pStyle w:val="879"/>
              <w:jc w:val="center"/>
              <w:rPr>
                <w:rFonts w:ascii="宋体" w:hAnsi="宋体" w:cs="宋体"/>
                <w:sz w:val="24"/>
                <w:highlight w:val="none"/>
              </w:rPr>
            </w:pPr>
            <w:r>
              <w:rPr>
                <w:rFonts w:hint="eastAsia" w:ascii="宋体" w:hAnsi="宋体" w:cs="宋体"/>
                <w:sz w:val="24"/>
                <w:highlight w:val="none"/>
              </w:rPr>
              <w:t xml:space="preserve">备注</w:t>
            </w:r>
            <w:r>
              <w:rPr>
                <w:highlight w:val="none"/>
              </w:rPr>
            </w:r>
            <w:r/>
          </w:p>
        </w:tc>
      </w:tr>
      <w:tr>
        <w:trPr>
          <w:trHeight w:val="910"/>
        </w:trPr>
        <w:tc>
          <w:tcPr>
            <w:tcW w:w="1008" w:type="dxa"/>
            <w:vAlign w:val="center"/>
            <w:textDirection w:val="lrTb"/>
            <w:noWrap w:val="false"/>
          </w:tcPr>
          <w:p>
            <w:pPr>
              <w:pStyle w:val="879"/>
              <w:jc w:val="center"/>
              <w:rPr>
                <w:rFonts w:ascii="宋体" w:hAnsi="宋体" w:cs="宋体"/>
                <w:sz w:val="24"/>
                <w:highlight w:val="none"/>
              </w:rPr>
            </w:pPr>
            <w:r>
              <w:rPr>
                <w:rFonts w:hint="eastAsia" w:ascii="宋体" w:hAnsi="宋体" w:cs="宋体"/>
                <w:sz w:val="24"/>
                <w:highlight w:val="none"/>
              </w:rPr>
              <w:t xml:space="preserve">1</w:t>
            </w:r>
            <w:r>
              <w:rPr>
                <w:highlight w:val="none"/>
              </w:rPr>
            </w:r>
            <w:r/>
          </w:p>
        </w:tc>
        <w:tc>
          <w:tcPr>
            <w:tcW w:w="2361" w:type="dxa"/>
            <w:vAlign w:val="center"/>
            <w:textDirection w:val="lrTb"/>
            <w:noWrap w:val="false"/>
          </w:tcPr>
          <w:p>
            <w:pPr>
              <w:pStyle w:val="879"/>
              <w:jc w:val="center"/>
              <w:rPr>
                <w:rFonts w:ascii="宋体" w:hAnsi="宋体" w:cs="宋体"/>
                <w:sz w:val="24"/>
                <w:highlight w:val="none"/>
              </w:rPr>
            </w:pPr>
            <w:r>
              <w:rPr>
                <w:rFonts w:ascii="宋体" w:hAnsi="宋体" w:cs="宋体"/>
                <w:sz w:val="24"/>
                <w:highlight w:val="none"/>
              </w:rPr>
            </w:r>
            <w:r>
              <w:rPr>
                <w:highlight w:val="none"/>
              </w:rPr>
            </w:r>
            <w:r/>
          </w:p>
        </w:tc>
        <w:tc>
          <w:tcPr>
            <w:tcW w:w="1842" w:type="dxa"/>
            <w:vAlign w:val="top"/>
            <w:textDirection w:val="lrTb"/>
            <w:noWrap w:val="false"/>
          </w:tcPr>
          <w:p>
            <w:pPr>
              <w:pStyle w:val="879"/>
              <w:jc w:val="center"/>
              <w:rPr>
                <w:rFonts w:ascii="宋体" w:hAnsi="宋体" w:cs="宋体"/>
                <w:sz w:val="24"/>
                <w:highlight w:val="none"/>
              </w:rPr>
            </w:pPr>
            <w:r>
              <w:rPr>
                <w:rFonts w:ascii="宋体" w:hAnsi="宋体" w:cs="宋体"/>
                <w:sz w:val="24"/>
                <w:highlight w:val="none"/>
              </w:rPr>
            </w:r>
            <w:r>
              <w:rPr>
                <w:highlight w:val="none"/>
              </w:rPr>
            </w:r>
            <w:r/>
          </w:p>
        </w:tc>
        <w:tc>
          <w:tcPr>
            <w:tcW w:w="2268" w:type="dxa"/>
            <w:vAlign w:val="top"/>
            <w:textDirection w:val="lrTb"/>
            <w:noWrap w:val="false"/>
          </w:tcPr>
          <w:p>
            <w:pPr>
              <w:pStyle w:val="879"/>
              <w:jc w:val="center"/>
              <w:rPr>
                <w:rFonts w:ascii="宋体" w:hAnsi="宋体" w:cs="宋体"/>
                <w:sz w:val="24"/>
                <w:highlight w:val="none"/>
              </w:rPr>
            </w:pPr>
            <w:r>
              <w:rPr>
                <w:rFonts w:ascii="宋体" w:hAnsi="宋体" w:cs="宋体"/>
                <w:sz w:val="24"/>
                <w:highlight w:val="none"/>
              </w:rPr>
            </w:r>
            <w:r>
              <w:rPr>
                <w:highlight w:val="none"/>
              </w:rPr>
            </w:r>
            <w:r/>
          </w:p>
        </w:tc>
        <w:tc>
          <w:tcPr>
            <w:tcW w:w="1974" w:type="dxa"/>
            <w:vAlign w:val="top"/>
            <w:textDirection w:val="lrTb"/>
            <w:noWrap w:val="false"/>
          </w:tcPr>
          <w:p>
            <w:pPr>
              <w:pStyle w:val="879"/>
              <w:jc w:val="center"/>
              <w:rPr>
                <w:rFonts w:ascii="宋体" w:hAnsi="宋体" w:cs="宋体"/>
                <w:sz w:val="24"/>
                <w:highlight w:val="none"/>
              </w:rPr>
            </w:pPr>
            <w:r>
              <w:rPr>
                <w:rFonts w:ascii="宋体" w:hAnsi="宋体" w:cs="宋体"/>
                <w:sz w:val="24"/>
                <w:highlight w:val="none"/>
              </w:rPr>
            </w:r>
            <w:r>
              <w:rPr>
                <w:highlight w:val="none"/>
              </w:rPr>
            </w:r>
            <w:r/>
          </w:p>
        </w:tc>
      </w:tr>
      <w:tr>
        <w:trPr>
          <w:trHeight w:val="760"/>
        </w:trPr>
        <w:tc>
          <w:tcPr>
            <w:gridSpan w:val="5"/>
            <w:tcW w:w="9453" w:type="dxa"/>
            <w:vAlign w:val="center"/>
            <w:textDirection w:val="lrTb"/>
            <w:noWrap w:val="false"/>
          </w:tcPr>
          <w:p>
            <w:pPr>
              <w:pStyle w:val="879"/>
              <w:tabs>
                <w:tab w:val="left" w:pos="705" w:leader="none"/>
              </w:tabs>
              <w:rPr>
                <w:rFonts w:ascii="宋体" w:hAnsi="宋体" w:cs="宋体"/>
                <w:sz w:val="24"/>
                <w:highlight w:val="none"/>
              </w:rPr>
            </w:pPr>
            <w:r>
              <w:rPr>
                <w:rFonts w:hint="eastAsia" w:ascii="宋体" w:hAnsi="宋体" w:cs="宋体"/>
                <w:sz w:val="24"/>
                <w:highlight w:val="none"/>
              </w:rPr>
              <w:t xml:space="preserve">是否小微企业：   □小型       □微型</w:t>
            </w:r>
            <w:r>
              <w:rPr>
                <w:highlight w:val="none"/>
              </w:rPr>
            </w:r>
            <w:r/>
          </w:p>
        </w:tc>
      </w:tr>
    </w:tbl>
    <w:p>
      <w:pPr>
        <w:pStyle w:val="1261"/>
        <w:ind w:firstLine="240"/>
        <w:spacing w:line="360" w:lineRule="auto"/>
        <w:rPr>
          <w:rFonts w:hAnsi="宋体" w:eastAsia="宋体" w:cs="宋体"/>
          <w:sz w:val="24"/>
          <w:highlight w:val="none"/>
        </w:rPr>
      </w:pPr>
      <w:r>
        <w:rPr>
          <w:rFonts w:hAnsi="宋体" w:eastAsia="宋体" w:cs="宋体"/>
          <w:sz w:val="24"/>
          <w:highlight w:val="none"/>
        </w:rPr>
      </w:r>
      <w:r>
        <w:rPr>
          <w:highlight w:val="none"/>
        </w:rPr>
      </w:r>
      <w:r/>
    </w:p>
    <w:p>
      <w:pPr>
        <w:pStyle w:val="1265"/>
        <w:spacing w:line="360" w:lineRule="auto"/>
        <w:rPr>
          <w:rFonts w:hAnsi="宋体" w:eastAsia="宋体" w:cs="宋体"/>
          <w:sz w:val="24"/>
          <w:highlight w:val="none"/>
        </w:rPr>
      </w:pPr>
      <w:r>
        <w:rPr>
          <w:rFonts w:hAnsi="宋体" w:eastAsia="宋体" w:cs="宋体"/>
          <w:sz w:val="24"/>
          <w:highlight w:val="none"/>
        </w:rPr>
        <w:t xml:space="preserve">注：</w:t>
      </w:r>
      <w:r>
        <w:rPr>
          <w:highlight w:val="none"/>
        </w:rPr>
      </w:r>
      <w:r/>
    </w:p>
    <w:p>
      <w:pPr>
        <w:pStyle w:val="1265"/>
        <w:ind w:firstLine="480"/>
        <w:spacing w:line="360" w:lineRule="auto"/>
        <w:rPr>
          <w:rFonts w:hAnsi="宋体" w:eastAsia="宋体" w:cs="宋体"/>
          <w:sz w:val="24"/>
          <w:highlight w:val="none"/>
        </w:rPr>
      </w:pPr>
      <w:r>
        <w:rPr>
          <w:rFonts w:hAnsi="宋体" w:eastAsia="宋体" w:cs="宋体"/>
          <w:sz w:val="24"/>
          <w:highlight w:val="none"/>
        </w:rPr>
        <w:t xml:space="preserve">1.本表中的报价为综合报价，投标报价应包括完成该项工作所需的所有服务管理内容、通讯、运输、服装、胸卡、办公设备、车辆、各种税费、人工（薪资、加班、福利）、保险〈养老保险金、医疗保险金、失业保险金、生育保险金、公伤保险金〉、劳保、维护、利润、政策性文件规定及合同包含的所有风险、责任等各项应有费用。风险、责任等各项应有费用。同时，除非合同条款中另有规定，否则，投标人所报价格在合同实施期间不因市场变化因素而变动。</w:t>
      </w:r>
      <w:r>
        <w:rPr>
          <w:highlight w:val="none"/>
        </w:rPr>
      </w:r>
      <w:r/>
    </w:p>
    <w:p>
      <w:pPr>
        <w:pStyle w:val="1265"/>
        <w:ind w:firstLine="480"/>
        <w:spacing w:line="360" w:lineRule="auto"/>
        <w:rPr>
          <w:rFonts w:hAnsi="宋体" w:eastAsia="宋体" w:cs="宋体"/>
          <w:sz w:val="24"/>
          <w:highlight w:val="none"/>
        </w:rPr>
      </w:pPr>
      <w:r>
        <w:rPr>
          <w:rFonts w:hAnsi="宋体" w:eastAsia="宋体" w:cs="宋体"/>
          <w:sz w:val="24"/>
          <w:highlight w:val="none"/>
        </w:rPr>
        <w:t xml:space="preserve">2.利润、管理费、税费及相应利润</w:t>
      </w:r>
      <w:r>
        <w:rPr>
          <w:rFonts w:hint="eastAsia" w:hAnsi="宋体" w:eastAsia="宋体" w:cs="宋体"/>
          <w:sz w:val="24"/>
          <w:highlight w:val="none"/>
          <w:lang w:eastAsia="zh-CN"/>
        </w:rPr>
        <w:t xml:space="preserve">响应单位</w:t>
      </w:r>
      <w:r>
        <w:rPr>
          <w:rFonts w:hAnsi="宋体" w:eastAsia="宋体" w:cs="宋体"/>
          <w:sz w:val="24"/>
          <w:highlight w:val="none"/>
        </w:rPr>
        <w:t xml:space="preserve">自行考虑。</w:t>
      </w:r>
      <w:r>
        <w:rPr>
          <w:highlight w:val="none"/>
        </w:rPr>
      </w:r>
      <w:r/>
    </w:p>
    <w:p>
      <w:pPr>
        <w:pStyle w:val="1265"/>
        <w:ind w:firstLine="480"/>
        <w:spacing w:line="360" w:lineRule="auto"/>
        <w:rPr>
          <w:rFonts w:hAnsi="宋体" w:eastAsia="宋体" w:cs="宋体"/>
          <w:sz w:val="24"/>
          <w:highlight w:val="none"/>
        </w:rPr>
      </w:pPr>
      <w:r>
        <w:rPr>
          <w:rFonts w:hAnsi="宋体" w:eastAsia="宋体" w:cs="宋体"/>
          <w:sz w:val="24"/>
          <w:highlight w:val="none"/>
        </w:rPr>
        <w:t xml:space="preserve">3.未按上述要求报价的，为无效投标报价。</w:t>
      </w:r>
      <w:r>
        <w:rPr>
          <w:highlight w:val="none"/>
        </w:rPr>
      </w:r>
      <w:r/>
    </w:p>
    <w:p>
      <w:pPr>
        <w:pStyle w:val="879"/>
        <w:ind w:firstLine="480"/>
        <w:rPr>
          <w:rFonts w:ascii="宋体" w:hAnsi="宋体" w:cs="宋体"/>
          <w:sz w:val="24"/>
          <w:highlight w:val="none"/>
        </w:rPr>
      </w:pPr>
      <w:r>
        <w:rPr>
          <w:rFonts w:ascii="宋体" w:hAnsi="宋体" w:cs="宋体"/>
          <w:sz w:val="24"/>
          <w:highlight w:val="none"/>
        </w:rPr>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供应商：（公章）</w:t>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法定代表人/负责人：（签字或盖章）</w:t>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代理人：（签字或盖章）</w:t>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日期：</w:t>
      </w:r>
      <w:r>
        <w:rPr>
          <w:rFonts w:hAnsi="宋体" w:eastAsia="宋体"/>
          <w:sz w:val="21"/>
          <w:szCs w:val="21"/>
          <w:highlight w:val="none"/>
        </w:rPr>
        <w:t xml:space="preserve">         </w:t>
      </w:r>
      <w:r>
        <w:rPr>
          <w:rFonts w:hint="eastAsia" w:hAnsi="宋体" w:eastAsia="宋体"/>
          <w:sz w:val="21"/>
          <w:szCs w:val="21"/>
          <w:highlight w:val="none"/>
        </w:rPr>
        <w:t xml:space="preserve">年</w:t>
      </w:r>
      <w:r>
        <w:rPr>
          <w:rFonts w:hAnsi="宋体" w:eastAsia="宋体"/>
          <w:sz w:val="21"/>
          <w:szCs w:val="21"/>
          <w:highlight w:val="none"/>
        </w:rPr>
        <w:t xml:space="preserve">     </w:t>
      </w:r>
      <w:r>
        <w:rPr>
          <w:rFonts w:hint="eastAsia" w:hAnsi="宋体" w:eastAsia="宋体"/>
          <w:sz w:val="21"/>
          <w:szCs w:val="21"/>
          <w:highlight w:val="none"/>
        </w:rPr>
        <w:t xml:space="preserve">月</w:t>
      </w:r>
      <w:r>
        <w:rPr>
          <w:rFonts w:hAnsi="宋体" w:eastAsia="宋体"/>
          <w:sz w:val="21"/>
          <w:szCs w:val="21"/>
          <w:highlight w:val="none"/>
        </w:rPr>
        <w:t xml:space="preserve">   </w:t>
      </w:r>
      <w:r>
        <w:rPr>
          <w:rFonts w:hint="eastAsia" w:hAnsi="宋体" w:eastAsia="宋体"/>
          <w:sz w:val="21"/>
          <w:szCs w:val="21"/>
          <w:highlight w:val="none"/>
        </w:rPr>
        <w:t xml:space="preserve">日</w:t>
      </w:r>
      <w:r>
        <w:rPr>
          <w:highlight w:val="none"/>
        </w:rPr>
      </w:r>
      <w:r/>
    </w:p>
    <w:p>
      <w:pPr>
        <w:pStyle w:val="996"/>
        <w:ind w:firstLine="0"/>
        <w:jc w:val="both"/>
        <w:spacing w:line="360" w:lineRule="auto"/>
        <w:rPr>
          <w:rFonts w:ascii="宋体" w:hAnsi="宋体" w:eastAsia="宋体" w:cs="宋体"/>
          <w:b/>
          <w:sz w:val="21"/>
          <w:szCs w:val="21"/>
          <w:highlight w:val="none"/>
        </w:rPr>
        <w:outlineLvl w:val="1"/>
      </w:pPr>
      <w:r>
        <w:rPr>
          <w:rFonts w:ascii="宋体" w:hAnsi="宋体" w:eastAsia="宋体" w:cs="宋体"/>
          <w:b/>
          <w:sz w:val="21"/>
          <w:szCs w:val="21"/>
          <w:highlight w:val="none"/>
        </w:rPr>
      </w:r>
      <w:r>
        <w:rPr>
          <w:highlight w:val="none"/>
        </w:rPr>
      </w:r>
      <w:r/>
    </w:p>
    <w:p>
      <w:pPr>
        <w:pStyle w:val="1261"/>
        <w:ind w:right="-290"/>
        <w:spacing w:line="400" w:lineRule="exact"/>
        <w:tabs>
          <w:tab w:val="left" w:pos="9000" w:leader="none"/>
        </w:tabs>
        <w:rPr>
          <w:rFonts w:hint="eastAsia" w:hAnsi="宋体" w:eastAsia="宋体" w:cs="宋体"/>
          <w:color w:val="000000"/>
          <w:sz w:val="24"/>
          <w:szCs w:val="24"/>
          <w:highlight w:val="none"/>
        </w:rPr>
      </w:pPr>
      <w:r>
        <w:rPr>
          <w:rFonts w:hint="eastAsia" w:hAnsi="宋体" w:eastAsia="宋体" w:cs="宋体"/>
          <w:color w:val="000000"/>
          <w:sz w:val="24"/>
          <w:szCs w:val="24"/>
          <w:highlight w:val="none"/>
        </w:rPr>
        <w:br w:type="page" w:clear="all"/>
      </w:r>
      <w:r>
        <w:rPr>
          <w:highlight w:val="none"/>
        </w:rPr>
      </w:r>
      <w:r/>
    </w:p>
    <w:p>
      <w:pPr>
        <w:pStyle w:val="879"/>
        <w:rPr>
          <w:rFonts w:hint="eastAsia" w:ascii="宋体" w:hAnsi="宋体"/>
          <w:b/>
          <w:color w:val="000000"/>
          <w:sz w:val="24"/>
          <w:highlight w:val="none"/>
        </w:rPr>
      </w:pPr>
      <w:r>
        <w:rPr>
          <w:rFonts w:hint="eastAsia" w:ascii="宋体" w:hAnsi="宋体" w:cs="宋体"/>
          <w:color w:val="000000"/>
          <w:highlight w:val="none"/>
        </w:rPr>
        <w:t xml:space="preserve">4、</w:t>
      </w:r>
      <w:r>
        <w:rPr>
          <w:rFonts w:hint="eastAsia" w:ascii="宋体" w:hAnsi="宋体"/>
          <w:b/>
          <w:color w:val="000000"/>
          <w:sz w:val="24"/>
          <w:highlight w:val="none"/>
        </w:rPr>
        <w:t xml:space="preserve">分项报价明细表</w:t>
      </w:r>
      <w:r>
        <w:rPr>
          <w:highlight w:val="none"/>
        </w:rPr>
      </w:r>
      <w:r/>
    </w:p>
    <w:p>
      <w:pPr>
        <w:pStyle w:val="879"/>
        <w:jc w:val="center"/>
        <w:spacing w:line="360" w:lineRule="auto"/>
        <w:rPr>
          <w:rFonts w:ascii="宋体" w:hAnsi="宋体" w:cs="宋体"/>
          <w:b/>
          <w:sz w:val="24"/>
          <w:highlight w:val="none"/>
        </w:rPr>
      </w:pPr>
      <w:r>
        <w:rPr>
          <w:rFonts w:hint="eastAsia" w:ascii="宋体" w:hAnsi="宋体" w:cs="宋体"/>
          <w:b/>
          <w:sz w:val="24"/>
          <w:highlight w:val="none"/>
        </w:rPr>
        <w:t xml:space="preserve">投标食材情况汇总表</w:t>
      </w:r>
      <w:r>
        <w:rPr>
          <w:highlight w:val="none"/>
        </w:rPr>
      </w:r>
      <w:r/>
    </w:p>
    <w:p>
      <w:pPr>
        <w:pStyle w:val="879"/>
        <w:spacing w:line="360" w:lineRule="auto"/>
        <w:rPr>
          <w:rFonts w:ascii="宋体" w:hAnsi="宋体" w:cs="宋体"/>
          <w:sz w:val="24"/>
          <w:highlight w:val="none"/>
        </w:rPr>
      </w:pPr>
      <w:r>
        <w:rPr>
          <w:rFonts w:hint="eastAsia" w:ascii="宋体" w:hAnsi="宋体" w:cs="宋体"/>
          <w:sz w:val="24"/>
          <w:highlight w:val="none"/>
        </w:rPr>
        <w:t xml:space="preserve">投标人名称：（盖章）                           招标编号：</w:t>
      </w:r>
      <w:r>
        <w:rPr>
          <w:highlight w:val="none"/>
        </w:rPr>
      </w:r>
      <w:r/>
    </w:p>
    <w:tbl>
      <w:tblPr>
        <w:tblW w:w="9799" w:type="dxa"/>
        <w:jc w:val="center"/>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9"/>
        <w:gridCol w:w="1180"/>
        <w:gridCol w:w="1197"/>
        <w:gridCol w:w="1128"/>
        <w:gridCol w:w="598"/>
        <w:gridCol w:w="1374"/>
        <w:gridCol w:w="1808"/>
        <w:gridCol w:w="1010"/>
        <w:gridCol w:w="705"/>
      </w:tblGrid>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序号</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食材名称</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品牌</w:t>
            </w:r>
            <w:r>
              <w:rPr>
                <w:highlight w:val="none"/>
              </w:rPr>
            </w:r>
            <w:r/>
          </w:p>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（如有）</w:t>
            </w:r>
            <w:r>
              <w:rPr>
                <w:highlight w:val="none"/>
              </w:rPr>
            </w:r>
            <w:r/>
          </w:p>
        </w:tc>
        <w:tc>
          <w:tcPr>
            <w:tcW w:w="1128"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等级</w:t>
            </w:r>
            <w:r>
              <w:rPr>
                <w:highlight w:val="none"/>
              </w:rPr>
            </w:r>
            <w:r/>
          </w:p>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（如有）</w:t>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产地</w:t>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生产厂家（如有）</w:t>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生产基地或种植/养殖基地（如有）</w:t>
            </w:r>
            <w:r>
              <w:rPr>
                <w:highlight w:val="none"/>
              </w:rPr>
            </w:r>
            <w:r/>
          </w:p>
        </w:tc>
        <w:tc>
          <w:tcPr>
            <w:tcW w:w="101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综合下浮率</w:t>
            </w:r>
            <w:r>
              <w:rPr>
                <w:highlight w:val="none"/>
              </w:rPr>
            </w:r>
            <w:r/>
          </w:p>
        </w:tc>
        <w:tc>
          <w:tcPr>
            <w:tcW w:w="705"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备注</w:t>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1</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蔬菜</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restart"/>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802"/>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2</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水产</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3</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肉</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4</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冷冻品</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5</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豆制品</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6</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鸡蛋</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7</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面</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8</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米面制品</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lang w:val="zh-CN"/>
              </w:rPr>
              <w:t xml:space="preserve">9</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南北货</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10</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调味品</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11</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799"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12</w:t>
            </w:r>
            <w:r>
              <w:rPr>
                <w:highlight w:val="none"/>
              </w:rPr>
            </w:r>
            <w:r/>
          </w:p>
        </w:tc>
        <w:tc>
          <w:tcPr>
            <w:tcW w:w="1180"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w:t>
            </w:r>
            <w:r>
              <w:rPr>
                <w:highlight w:val="none"/>
              </w:rPr>
            </w:r>
            <w:r/>
          </w:p>
        </w:tc>
        <w:tc>
          <w:tcPr>
            <w:tcW w:w="1197"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128"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59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374"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80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010" w:type="dxa"/>
            <w:vAlign w:val="top"/>
            <w:vMerge w:val="continue"/>
            <w:textDirection w:val="lrTb"/>
            <w:noWrap w:val="false"/>
          </w:tcPr>
          <w:p>
            <w:pPr>
              <w:pStyle w:val="879"/>
              <w:jc w:val="center"/>
              <w:spacing w:line="360" w:lineRule="auto"/>
              <w:rPr>
                <w:rFonts w:ascii="宋体" w:hAnsi="宋体" w:cs="宋体"/>
                <w:sz w:val="24"/>
                <w:highlight w:val="none"/>
                <w:lang w:val="zh-CN"/>
              </w:rPr>
            </w:pPr>
            <w:r>
              <w:rPr>
                <w:rFonts w:ascii="宋体" w:hAnsi="宋体" w:cs="宋体"/>
                <w:sz w:val="24"/>
                <w:highlight w:val="none"/>
                <w:lang w:val="zh-CN"/>
              </w:rPr>
            </w:r>
            <w:r/>
          </w:p>
        </w:tc>
        <w:tc>
          <w:tcPr>
            <w:tcW w:w="705" w:type="dxa"/>
            <w:vAlign w:val="top"/>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bl>
    <w:p>
      <w:pPr>
        <w:pStyle w:val="996"/>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注：表格中所列食材为部分内容，各投标人须承诺后期提供的所有食材均按投标时所报下浮率结算，并在投标文件中提供承诺书（格式自拟）。如未提供承诺书视为无效投标。</w:t>
      </w:r>
      <w:r>
        <w:rPr>
          <w:highlight w:val="none"/>
        </w:rPr>
      </w:r>
      <w:r/>
    </w:p>
    <w:p>
      <w:pPr>
        <w:pStyle w:val="996"/>
        <w:ind w:firstLine="0"/>
        <w:spacing w:line="360" w:lineRule="auto"/>
        <w:rPr>
          <w:rFonts w:ascii="宋体" w:hAnsi="宋体" w:eastAsia="宋体" w:cs="宋体"/>
          <w:b/>
          <w:szCs w:val="24"/>
          <w:highlight w:val="none"/>
        </w:rPr>
      </w:pPr>
      <w:r>
        <w:rPr>
          <w:rFonts w:ascii="宋体" w:hAnsi="宋体" w:eastAsia="宋体" w:cs="宋体"/>
          <w:b/>
          <w:szCs w:val="24"/>
          <w:highlight w:val="none"/>
        </w:rPr>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供应商：（公章）</w:t>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法定代表人/负责人：（签字或盖章）</w:t>
      </w:r>
      <w:r>
        <w:rPr>
          <w:highlight w:val="none"/>
        </w:rPr>
      </w:r>
      <w:r/>
    </w:p>
    <w:p>
      <w:pPr>
        <w:pStyle w:val="1249"/>
        <w:ind w:firstLine="210"/>
        <w:spacing w:line="360" w:lineRule="exact"/>
        <w:rPr>
          <w:rFonts w:hAnsi="宋体" w:eastAsia="宋体"/>
          <w:sz w:val="21"/>
          <w:szCs w:val="21"/>
          <w:highlight w:val="none"/>
        </w:rPr>
      </w:pPr>
      <w:r>
        <w:rPr>
          <w:rFonts w:hint="eastAsia" w:hAnsi="宋体" w:eastAsia="宋体"/>
          <w:sz w:val="21"/>
          <w:szCs w:val="21"/>
          <w:highlight w:val="none"/>
        </w:rPr>
        <w:t xml:space="preserve">代理人：（签字或盖章）</w:t>
      </w:r>
      <w:r>
        <w:rPr>
          <w:highlight w:val="none"/>
        </w:rPr>
      </w:r>
      <w:r/>
    </w:p>
    <w:p>
      <w:pPr>
        <w:pStyle w:val="1249"/>
        <w:ind w:firstLine="210"/>
        <w:spacing w:line="360" w:lineRule="exact"/>
        <w:rPr>
          <w:rFonts w:hAnsi="宋体" w:eastAsia="宋体"/>
          <w:b/>
          <w:bCs/>
          <w:sz w:val="21"/>
          <w:szCs w:val="21"/>
          <w:highlight w:val="none"/>
        </w:rPr>
      </w:pPr>
      <w:r>
        <w:rPr>
          <w:rFonts w:hint="eastAsia" w:hAnsi="宋体" w:eastAsia="宋体"/>
          <w:sz w:val="21"/>
          <w:szCs w:val="21"/>
          <w:highlight w:val="none"/>
        </w:rPr>
        <w:t xml:space="preserve">日期：</w:t>
      </w:r>
      <w:r>
        <w:rPr>
          <w:rFonts w:hAnsi="宋体" w:eastAsia="宋体"/>
          <w:sz w:val="21"/>
          <w:szCs w:val="21"/>
          <w:highlight w:val="none"/>
        </w:rPr>
        <w:t xml:space="preserve">         </w:t>
      </w:r>
      <w:r>
        <w:rPr>
          <w:rFonts w:hint="eastAsia" w:hAnsi="宋体" w:eastAsia="宋体"/>
          <w:sz w:val="21"/>
          <w:szCs w:val="21"/>
          <w:highlight w:val="none"/>
        </w:rPr>
        <w:t xml:space="preserve">年</w:t>
      </w:r>
      <w:r>
        <w:rPr>
          <w:rFonts w:hAnsi="宋体" w:eastAsia="宋体"/>
          <w:sz w:val="21"/>
          <w:szCs w:val="21"/>
          <w:highlight w:val="none"/>
        </w:rPr>
        <w:t xml:space="preserve">     </w:t>
      </w:r>
      <w:r>
        <w:rPr>
          <w:rFonts w:hint="eastAsia" w:hAnsi="宋体" w:eastAsia="宋体"/>
          <w:sz w:val="21"/>
          <w:szCs w:val="21"/>
          <w:highlight w:val="none"/>
        </w:rPr>
        <w:t xml:space="preserve">月</w:t>
      </w:r>
      <w:r>
        <w:rPr>
          <w:rFonts w:hAnsi="宋体" w:eastAsia="宋体"/>
          <w:sz w:val="21"/>
          <w:szCs w:val="21"/>
          <w:highlight w:val="none"/>
        </w:rPr>
        <w:t xml:space="preserve">   </w:t>
      </w:r>
      <w:r>
        <w:rPr>
          <w:rFonts w:hint="eastAsia" w:hAnsi="宋体" w:eastAsia="宋体"/>
          <w:sz w:val="21"/>
          <w:szCs w:val="21"/>
          <w:highlight w:val="none"/>
        </w:rPr>
        <w:t xml:space="preserve">日</w:t>
      </w:r>
      <w:r>
        <w:rPr>
          <w:highlight w:val="none"/>
        </w:rPr>
      </w:r>
      <w:r/>
    </w:p>
    <w:p>
      <w:pPr>
        <w:pStyle w:val="1026"/>
        <w:rPr>
          <w:rFonts w:hint="eastAsia" w:ascii="宋体" w:hAnsi="宋体"/>
          <w:b/>
          <w:color w:val="000000"/>
          <w:sz w:val="24"/>
          <w:highlight w:val="none"/>
        </w:rPr>
      </w:pPr>
      <w:r>
        <w:rPr>
          <w:rFonts w:hint="eastAsia" w:ascii="宋体" w:hAnsi="宋体"/>
          <w:b/>
          <w:color w:val="000000"/>
          <w:sz w:val="24"/>
          <w:highlight w:val="none"/>
        </w:rPr>
      </w:r>
      <w:r>
        <w:rPr>
          <w:highlight w:val="none"/>
        </w:rPr>
      </w:r>
      <w:r/>
    </w:p>
    <w:p>
      <w:pPr>
        <w:pStyle w:val="879"/>
        <w:rPr>
          <w:rFonts w:ascii="宋体" w:hAnsi="宋体" w:cs="宋体"/>
          <w:color w:val="000000"/>
          <w:highlight w:val="none"/>
        </w:rPr>
      </w:pPr>
      <w:r>
        <w:rPr>
          <w:rFonts w:hint="eastAsia" w:ascii="宋体" w:hAnsi="宋体"/>
          <w:b/>
          <w:color w:val="000000"/>
          <w:sz w:val="24"/>
          <w:highlight w:val="none"/>
        </w:rPr>
        <w:br w:type="page" w:clear="all"/>
      </w:r>
      <w:r>
        <w:rPr>
          <w:highlight w:val="none"/>
        </w:rPr>
      </w:r>
      <w:r/>
    </w:p>
    <w:p>
      <w:pPr>
        <w:pStyle w:val="1170"/>
        <w:ind w:firstLine="0"/>
        <w:jc w:val="both"/>
        <w:spacing w:line="360" w:lineRule="auto"/>
        <w:tabs>
          <w:tab w:val="left" w:pos="8930" w:leader="none"/>
          <w:tab w:val="left" w:pos="9306" w:leader="none"/>
        </w:tabs>
        <w:rPr>
          <w:rFonts w:ascii="宋体" w:hAnsi="宋体" w:eastAsia="宋体" w:cs="宋体"/>
          <w:color w:val="000000"/>
          <w:highlight w:val="none"/>
        </w:rPr>
      </w:pPr>
      <w:r>
        <w:rPr>
          <w:rFonts w:hint="eastAsia" w:ascii="宋体" w:hAnsi="宋体" w:eastAsia="宋体" w:cs="宋体"/>
          <w:color w:val="000000"/>
          <w:highlight w:val="none"/>
        </w:rPr>
        <w:t xml:space="preserve">5、项目组织机构人员名单</w:t>
      </w:r>
      <w:r>
        <w:rPr>
          <w:highlight w:val="none"/>
        </w:rPr>
      </w:r>
      <w:r/>
    </w:p>
    <w:p>
      <w:pPr>
        <w:pStyle w:val="879"/>
        <w:rPr>
          <w:rFonts w:ascii="宋体" w:hAnsi="宋体"/>
          <w:szCs w:val="21"/>
          <w:highlight w:val="none"/>
          <w:u w:val="single"/>
        </w:rPr>
      </w:pPr>
      <w:r>
        <w:rPr>
          <w:rFonts w:hint="eastAsia" w:ascii="宋体" w:hAnsi="宋体"/>
          <w:szCs w:val="21"/>
          <w:highlight w:val="none"/>
        </w:rPr>
        <w:t xml:space="preserve">项目名称：</w:t>
      </w:r>
      <w:r>
        <w:rPr>
          <w:rFonts w:ascii="宋体" w:hAnsi="宋体"/>
          <w:szCs w:val="21"/>
          <w:highlight w:val="none"/>
          <w:u w:val="single"/>
        </w:rPr>
        <w:t xml:space="preserve"> </w:t>
      </w:r>
      <w:r>
        <w:rPr>
          <w:rFonts w:hint="eastAsia" w:ascii="宋体" w:hAnsi="宋体"/>
          <w:szCs w:val="21"/>
          <w:highlight w:val="none"/>
          <w:u w:val="single"/>
        </w:rPr>
        <w:t xml:space="preserve">                        </w:t>
      </w:r>
      <w:r>
        <w:rPr>
          <w:highlight w:val="none"/>
        </w:rPr>
      </w:r>
      <w:r/>
    </w:p>
    <w:p>
      <w:pPr>
        <w:pStyle w:val="998"/>
        <w:rPr>
          <w:szCs w:val="21"/>
          <w:highlight w:val="none"/>
        </w:rPr>
      </w:pPr>
      <w:r>
        <w:rPr>
          <w:szCs w:val="21"/>
          <w:highlight w:val="none"/>
        </w:rPr>
      </w:r>
      <w:r>
        <w:rPr>
          <w:highlight w:val="none"/>
        </w:rPr>
      </w:r>
      <w:r/>
    </w:p>
    <w:p>
      <w:pPr>
        <w:pStyle w:val="1003"/>
        <w:jc w:val="center"/>
        <w:spacing w:line="360" w:lineRule="auto"/>
        <w:rPr>
          <w:rFonts w:hAnsi="宋体" w:eastAsia="宋体" w:cs="宋体"/>
          <w:bCs/>
          <w:sz w:val="24"/>
          <w:highlight w:val="none"/>
        </w:rPr>
      </w:pPr>
      <w:r>
        <w:rPr>
          <w:rFonts w:hAnsi="宋体" w:eastAsia="宋体" w:cs="宋体"/>
          <w:bCs/>
          <w:sz w:val="24"/>
          <w:highlight w:val="none"/>
        </w:rPr>
        <w:t xml:space="preserve">项目组人员一览表</w:t>
      </w:r>
      <w:r>
        <w:rPr>
          <w:highlight w:val="none"/>
        </w:rPr>
      </w:r>
      <w:r/>
    </w:p>
    <w:tbl>
      <w:tblPr>
        <w:tblW w:w="9799" w:type="dxa"/>
        <w:jc w:val="center"/>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33"/>
        <w:gridCol w:w="1432"/>
        <w:gridCol w:w="863"/>
        <w:gridCol w:w="976"/>
        <w:gridCol w:w="978"/>
        <w:gridCol w:w="1591"/>
        <w:gridCol w:w="1463"/>
        <w:gridCol w:w="1463"/>
      </w:tblGrid>
      <w:tr>
        <w:trPr>
          <w:trHeight w:val="851"/>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姓名</w:t>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性别</w:t>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年龄</w:t>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职称</w:t>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专业/资格</w:t>
            </w:r>
            <w:r>
              <w:rPr>
                <w:highlight w:val="none"/>
              </w:rPr>
            </w:r>
            <w:r/>
          </w:p>
        </w:tc>
        <w:tc>
          <w:tcPr>
            <w:tcW w:w="1463" w:type="dxa"/>
            <w:vAlign w:val="center"/>
            <w:textDirection w:val="lrTb"/>
            <w:noWrap w:val="false"/>
          </w:tcPr>
          <w:p>
            <w:pPr>
              <w:pStyle w:val="1008"/>
              <w:spacing w:line="360" w:lineRule="auto"/>
              <w:rPr>
                <w:rFonts w:ascii="宋体" w:hAnsi="宋体" w:cs="宋体"/>
                <w:sz w:val="24"/>
                <w:szCs w:val="24"/>
                <w:highlight w:val="none"/>
              </w:rPr>
            </w:pPr>
            <w:r>
              <w:rPr>
                <w:rFonts w:hint="eastAsia" w:ascii="宋体" w:hAnsi="宋体" w:cs="宋体"/>
                <w:sz w:val="24"/>
                <w:szCs w:val="24"/>
                <w:highlight w:val="none"/>
              </w:rPr>
              <w:t xml:space="preserve">健康证</w:t>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备注</w:t>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6</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7</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1008"/>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rPr>
                <w:highlight w:val="none"/>
              </w:rPr>
            </w:r>
            <w:r/>
          </w:p>
        </w:tc>
        <w:tc>
          <w:tcPr>
            <w:tcW w:w="1432"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8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6"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978"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591"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c>
          <w:tcPr>
            <w:tcW w:w="1463" w:type="dxa"/>
            <w:vAlign w:val="center"/>
            <w:textDirection w:val="lrTb"/>
            <w:noWrap w:val="false"/>
          </w:tcPr>
          <w:p>
            <w:pPr>
              <w:pStyle w:val="1008"/>
              <w:jc w:val="center"/>
              <w:spacing w:line="360" w:lineRule="auto"/>
              <w:rPr>
                <w:rFonts w:ascii="宋体" w:hAnsi="宋体" w:cs="宋体"/>
                <w:sz w:val="24"/>
                <w:szCs w:val="24"/>
                <w:highlight w:val="none"/>
              </w:rPr>
            </w:pPr>
            <w:r>
              <w:rPr>
                <w:rFonts w:ascii="宋体" w:hAnsi="宋体" w:cs="宋体"/>
                <w:sz w:val="24"/>
                <w:szCs w:val="24"/>
                <w:highlight w:val="none"/>
              </w:rPr>
            </w:r>
            <w:r>
              <w:rPr>
                <w:highlight w:val="none"/>
              </w:rPr>
            </w:r>
            <w:r/>
          </w:p>
        </w:tc>
      </w:tr>
      <w:tr>
        <w:trPr>
          <w:trHeight w:val="567"/>
        </w:trPr>
        <w:tc>
          <w:tcPr>
            <w:tcW w:w="1033"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10</w:t>
            </w:r>
            <w:r>
              <w:rPr>
                <w:highlight w:val="none"/>
              </w:rPr>
            </w:r>
            <w:r/>
          </w:p>
        </w:tc>
        <w:tc>
          <w:tcPr>
            <w:tcW w:w="1432"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863"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976"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97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591"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463"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463"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r>
        <w:trPr>
          <w:trHeight w:val="567"/>
        </w:trPr>
        <w:tc>
          <w:tcPr>
            <w:tcW w:w="1033" w:type="dxa"/>
            <w:vAlign w:val="center"/>
            <w:textDirection w:val="lrTb"/>
            <w:noWrap w:val="false"/>
          </w:tcPr>
          <w:p>
            <w:pPr>
              <w:pStyle w:val="879"/>
              <w:jc w:val="center"/>
              <w:spacing w:line="360" w:lineRule="auto"/>
              <w:rPr>
                <w:rFonts w:ascii="宋体" w:hAnsi="宋体" w:cs="宋体"/>
                <w:sz w:val="24"/>
                <w:highlight w:val="none"/>
              </w:rPr>
            </w:pPr>
            <w:r>
              <w:rPr>
                <w:rFonts w:hint="eastAsia" w:ascii="宋体" w:hAnsi="宋体" w:cs="宋体"/>
                <w:sz w:val="24"/>
                <w:highlight w:val="none"/>
              </w:rPr>
              <w:t xml:space="preserve">…</w:t>
            </w:r>
            <w:r>
              <w:rPr>
                <w:highlight w:val="none"/>
              </w:rPr>
            </w:r>
            <w:r/>
          </w:p>
        </w:tc>
        <w:tc>
          <w:tcPr>
            <w:tcW w:w="1432"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863"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976"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978"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591"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463"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c>
          <w:tcPr>
            <w:tcW w:w="1463" w:type="dxa"/>
            <w:vAlign w:val="center"/>
            <w:textDirection w:val="lrTb"/>
            <w:noWrap w:val="false"/>
          </w:tcPr>
          <w:p>
            <w:pPr>
              <w:pStyle w:val="879"/>
              <w:jc w:val="center"/>
              <w:spacing w:line="360" w:lineRule="auto"/>
              <w:rPr>
                <w:rFonts w:ascii="宋体" w:hAnsi="宋体" w:cs="宋体"/>
                <w:sz w:val="24"/>
                <w:highlight w:val="none"/>
              </w:rPr>
            </w:pPr>
            <w:r>
              <w:rPr>
                <w:rFonts w:ascii="宋体" w:hAnsi="宋体" w:cs="宋体"/>
                <w:sz w:val="24"/>
                <w:highlight w:val="none"/>
              </w:rPr>
            </w:r>
            <w:r>
              <w:rPr>
                <w:highlight w:val="none"/>
              </w:rPr>
            </w:r>
            <w:r/>
          </w:p>
        </w:tc>
      </w:tr>
    </w:tbl>
    <w:p>
      <w:pPr>
        <w:pStyle w:val="879"/>
        <w:spacing w:line="360" w:lineRule="auto"/>
        <w:rPr>
          <w:rFonts w:ascii="宋体" w:hAnsi="宋体" w:cs="宋体"/>
          <w:sz w:val="24"/>
          <w:highlight w:val="none"/>
        </w:rPr>
      </w:pPr>
      <w:r>
        <w:rPr>
          <w:rFonts w:ascii="宋体" w:hAnsi="宋体" w:cs="宋体"/>
          <w:sz w:val="24"/>
          <w:highlight w:val="none"/>
        </w:rPr>
      </w:r>
      <w:r>
        <w:rPr>
          <w:highlight w:val="none"/>
        </w:rPr>
      </w:r>
      <w:r/>
    </w:p>
    <w:p>
      <w:pPr>
        <w:pStyle w:val="879"/>
        <w:ind w:firstLine="420"/>
        <w:jc w:val="left"/>
        <w:spacing w:line="400" w:lineRule="exact"/>
        <w:rPr>
          <w:rFonts w:ascii="宋体" w:hAnsi="宋体"/>
          <w:szCs w:val="21"/>
          <w:highlight w:val="none"/>
        </w:rPr>
      </w:pPr>
      <w:r>
        <w:rPr>
          <w:rFonts w:hint="eastAsia" w:ascii="宋体" w:hAnsi="宋体"/>
          <w:szCs w:val="21"/>
          <w:highlight w:val="none"/>
        </w:rPr>
        <w:t xml:space="preserve">供应商：         （盖章）</w:t>
      </w:r>
      <w:r>
        <w:rPr>
          <w:highlight w:val="none"/>
        </w:rPr>
      </w:r>
      <w:r/>
    </w:p>
    <w:p>
      <w:pPr>
        <w:pStyle w:val="879"/>
        <w:ind w:firstLine="420"/>
        <w:jc w:val="left"/>
        <w:spacing w:line="400" w:lineRule="exact"/>
        <w:rPr>
          <w:rFonts w:ascii="宋体" w:hAnsi="宋体"/>
          <w:szCs w:val="21"/>
          <w:highlight w:val="none"/>
        </w:rPr>
      </w:pPr>
      <w:r>
        <w:rPr>
          <w:rFonts w:hint="eastAsia" w:ascii="宋体" w:hAnsi="宋体"/>
          <w:szCs w:val="21"/>
          <w:highlight w:val="none"/>
        </w:rPr>
        <w:t xml:space="preserve">法定代表人/负责人或代理人（签字或盖章）：</w:t>
      </w:r>
      <w:r>
        <w:rPr>
          <w:highlight w:val="none"/>
        </w:rPr>
      </w:r>
      <w:r/>
    </w:p>
    <w:p>
      <w:pPr>
        <w:pStyle w:val="879"/>
        <w:ind w:firstLine="420"/>
        <w:jc w:val="left"/>
        <w:spacing w:line="400" w:lineRule="exact"/>
        <w:rPr>
          <w:rFonts w:ascii="宋体" w:hAnsi="宋体"/>
          <w:szCs w:val="21"/>
          <w:highlight w:val="none"/>
        </w:rPr>
      </w:pPr>
      <w:r>
        <w:rPr>
          <w:rFonts w:hint="eastAsia" w:ascii="宋体" w:hAnsi="宋体"/>
          <w:szCs w:val="21"/>
          <w:highlight w:val="none"/>
        </w:rPr>
        <w:t xml:space="preserve">日期:</w:t>
      </w:r>
      <w:r>
        <w:rPr>
          <w:highlight w:val="none"/>
        </w:rPr>
      </w:r>
      <w:r/>
    </w:p>
    <w:p>
      <w:pPr>
        <w:pStyle w:val="1236"/>
        <w:rPr>
          <w:rFonts w:hAnsi="宋体" w:eastAsia="宋体" w:cs="宋体"/>
          <w:b/>
          <w:sz w:val="21"/>
          <w:szCs w:val="21"/>
          <w:highlight w:val="none"/>
        </w:rPr>
      </w:pPr>
      <w:r>
        <w:rPr>
          <w:rFonts w:hAnsi="宋体" w:eastAsia="宋体" w:cs="宋体"/>
          <w:b/>
          <w:sz w:val="21"/>
          <w:szCs w:val="21"/>
          <w:highlight w:val="none"/>
        </w:rPr>
      </w:r>
      <w:r>
        <w:rPr>
          <w:highlight w:val="none"/>
        </w:rPr>
      </w:r>
      <w:r/>
    </w:p>
    <w:p>
      <w:pPr>
        <w:pStyle w:val="1236"/>
        <w:rPr>
          <w:rFonts w:hAnsi="宋体" w:eastAsia="宋体" w:cs="宋体"/>
          <w:b/>
          <w:sz w:val="21"/>
          <w:szCs w:val="21"/>
          <w:highlight w:val="none"/>
        </w:rPr>
      </w:pPr>
      <w:r>
        <w:rPr>
          <w:rFonts w:hAnsi="宋体" w:eastAsia="宋体" w:cs="宋体"/>
          <w:b/>
          <w:sz w:val="21"/>
          <w:szCs w:val="21"/>
          <w:highlight w:val="none"/>
        </w:rPr>
      </w:r>
      <w:r>
        <w:rPr>
          <w:highlight w:val="none"/>
        </w:rPr>
      </w:r>
      <w:r/>
    </w:p>
    <w:p>
      <w:pPr>
        <w:pStyle w:val="879"/>
        <w:rPr>
          <w:rFonts w:ascii="宋体" w:hAnsi="宋体" w:cs="宋体"/>
          <w:bCs/>
          <w:color w:val="000000"/>
          <w:sz w:val="24"/>
          <w:highlight w:val="none"/>
        </w:rPr>
      </w:pPr>
      <w:r>
        <w:rPr>
          <w:rFonts w:hint="eastAsia" w:ascii="宋体" w:hAnsi="宋体" w:cs="宋体"/>
          <w:bCs/>
          <w:color w:val="000000"/>
          <w:sz w:val="24"/>
          <w:highlight w:val="none"/>
        </w:rPr>
        <w:br w:type="page" w:clear="all"/>
      </w:r>
      <w:r>
        <w:rPr>
          <w:highlight w:val="none"/>
        </w:rPr>
      </w:r>
      <w:r/>
    </w:p>
    <w:p>
      <w:pPr>
        <w:pStyle w:val="879"/>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6、项目业绩一览表</w:t>
      </w:r>
      <w:r>
        <w:rPr>
          <w:highlight w:val="none"/>
        </w:rPr>
      </w:r>
      <w:r/>
    </w:p>
    <w:p>
      <w:pPr>
        <w:pStyle w:val="1236"/>
        <w:jc w:val="center"/>
        <w:spacing w:line="360" w:lineRule="auto"/>
        <w:rPr>
          <w:rFonts w:hAnsi="宋体" w:eastAsia="宋体" w:cs="宋体"/>
          <w:sz w:val="21"/>
          <w:szCs w:val="21"/>
          <w:highlight w:val="none"/>
        </w:rPr>
      </w:pPr>
      <w:r>
        <w:rPr>
          <w:rFonts w:hint="eastAsia" w:hAnsi="宋体" w:eastAsia="宋体" w:cs="宋体"/>
          <w:sz w:val="21"/>
          <w:szCs w:val="21"/>
          <w:highlight w:val="none"/>
        </w:rPr>
        <w:t xml:space="preserve">类似项目一览表</w:t>
      </w:r>
      <w:r>
        <w:rPr>
          <w:highlight w:val="none"/>
        </w:rPr>
      </w:r>
      <w:r/>
    </w:p>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bl>
      <w:tblPr>
        <w:tblW w:w="932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742"/>
        <w:gridCol w:w="1663"/>
        <w:gridCol w:w="1985"/>
        <w:gridCol w:w="1824"/>
        <w:gridCol w:w="1323"/>
      </w:tblGrid>
      <w:tr>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序号</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项目名称</w:t>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项目时间</w:t>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合同金额</w:t>
            </w:r>
            <w:r>
              <w:rPr>
                <w:highlight w:val="none"/>
              </w:rPr>
            </w:r>
            <w:r/>
          </w:p>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（人民币）</w:t>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业主单位</w:t>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备注</w:t>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1</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2</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3</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4</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5</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hint="eastAsia" w:ascii="宋体" w:hAnsi="宋体" w:cs="宋体"/>
                <w:szCs w:val="21"/>
                <w:highlight w:val="none"/>
              </w:rPr>
              <w:t xml:space="preserve">6</w:t>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742"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400" w:lineRule="exact"/>
              <w:rPr>
                <w:rFonts w:ascii="宋体" w:hAnsi="宋体" w:cs="宋体"/>
                <w:szCs w:val="21"/>
                <w:highlight w:val="none"/>
              </w:rPr>
            </w:pPr>
            <w:r>
              <w:rPr>
                <w:rFonts w:ascii="宋体" w:hAnsi="宋体" w:cs="宋体"/>
                <w:szCs w:val="21"/>
                <w:highlight w:val="none"/>
              </w:rPr>
            </w:r>
            <w:r>
              <w:rPr>
                <w:highlight w:val="none"/>
              </w:rPr>
            </w:r>
            <w:r/>
          </w:p>
        </w:tc>
      </w:tr>
      <w:tr>
        <w:trPr>
          <w:trHeight w:val="567" w:hRule="exact"/>
        </w:trPr>
        <w:tc>
          <w:tcPr>
            <w:tcW w:w="783" w:type="dxa"/>
            <w:vAlign w:val="center"/>
            <w:textDirection w:val="lrTb"/>
            <w:noWrap w:val="false"/>
          </w:tcPr>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742" w:type="dxa"/>
            <w:vAlign w:val="center"/>
            <w:textDirection w:val="lrTb"/>
            <w:noWrap w:val="false"/>
          </w:tcPr>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663" w:type="dxa"/>
            <w:vAlign w:val="center"/>
            <w:textDirection w:val="lrTb"/>
            <w:noWrap w:val="false"/>
          </w:tcPr>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985" w:type="dxa"/>
            <w:vAlign w:val="center"/>
            <w:textDirection w:val="lrTb"/>
            <w:noWrap w:val="false"/>
          </w:tcPr>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824" w:type="dxa"/>
            <w:vAlign w:val="center"/>
            <w:textDirection w:val="lrTb"/>
            <w:noWrap w:val="false"/>
          </w:tcPr>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323" w:type="dxa"/>
            <w:vAlign w:val="center"/>
            <w:textDirection w:val="lrTb"/>
            <w:noWrap w:val="false"/>
          </w:tcPr>
          <w:p>
            <w:pPr>
              <w:pStyle w:val="879"/>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r>
    </w:tbl>
    <w:p>
      <w:pPr>
        <w:pStyle w:val="879"/>
        <w:spacing w:line="360" w:lineRule="auto"/>
        <w:rPr>
          <w:rFonts w:ascii="宋体" w:hAnsi="宋体" w:cs="宋体"/>
          <w:szCs w:val="21"/>
          <w:highlight w:val="none"/>
        </w:rPr>
      </w:pPr>
      <w:r>
        <w:rPr>
          <w:rFonts w:hint="eastAsia" w:ascii="宋体" w:hAnsi="宋体" w:cs="宋体"/>
          <w:szCs w:val="21"/>
          <w:highlight w:val="none"/>
        </w:rPr>
        <w:t xml:space="preserve">注：附合同复印件。</w:t>
      </w:r>
      <w:r>
        <w:rPr>
          <w:highlight w:val="none"/>
        </w:rPr>
      </w:r>
      <w:r/>
    </w:p>
    <w:p>
      <w:pPr>
        <w:pStyle w:val="879"/>
        <w:spacing w:line="360" w:lineRule="auto"/>
        <w:rPr>
          <w:rFonts w:ascii="宋体" w:hAnsi="宋体" w:cs="宋体"/>
          <w:szCs w:val="21"/>
          <w:highlight w:val="none"/>
        </w:rPr>
      </w:pPr>
      <w:r>
        <w:rPr>
          <w:rFonts w:ascii="宋体" w:hAnsi="宋体" w:cs="宋体"/>
          <w:szCs w:val="21"/>
          <w:highlight w:val="none"/>
        </w:rPr>
      </w:r>
      <w:r>
        <w:rPr>
          <w:highlight w:val="none"/>
        </w:rPr>
      </w:r>
      <w:r/>
    </w:p>
    <w:p>
      <w:pPr>
        <w:pStyle w:val="879"/>
        <w:ind w:firstLine="480"/>
        <w:spacing w:before="25" w:after="25" w:line="360" w:lineRule="auto"/>
        <w:rPr>
          <w:rFonts w:ascii="宋体" w:hAnsi="宋体" w:cs="宋体"/>
          <w:bCs/>
          <w:szCs w:val="21"/>
          <w:highlight w:val="none"/>
        </w:rPr>
      </w:pPr>
      <w:r>
        <w:rPr>
          <w:rFonts w:ascii="宋体" w:hAnsi="宋体" w:cs="宋体"/>
          <w:bCs/>
          <w:szCs w:val="21"/>
          <w:highlight w:val="none"/>
        </w:rPr>
      </w:r>
      <w:r>
        <w:rPr>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响应单位：（单位盖章）</w:t>
      </w:r>
      <w:r>
        <w:rPr>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法定代表人或代理人：（签字或盖章）</w:t>
      </w:r>
      <w:r>
        <w:rPr>
          <w:highlight w:val="none"/>
        </w:rPr>
      </w:r>
      <w:r/>
    </w:p>
    <w:p>
      <w:pPr>
        <w:pStyle w:val="996"/>
        <w:ind w:firstLine="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highlight w:val="none"/>
        </w:rPr>
      </w:r>
      <w:r/>
    </w:p>
    <w:p>
      <w:pPr>
        <w:pStyle w:val="996"/>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pStyle w:val="996"/>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rPr>
          <w:highlight w:val="none"/>
        </w:rPr>
      </w:r>
      <w:r/>
    </w:p>
    <w:p>
      <w:pPr>
        <w:pStyle w:val="879"/>
        <w:spacing w:line="360" w:lineRule="auto"/>
        <w:rPr>
          <w:rFonts w:ascii="宋体" w:hAnsi="宋体" w:cs="宋体"/>
          <w:bCs/>
          <w:color w:val="000000"/>
          <w:sz w:val="24"/>
          <w:highlight w:val="none"/>
        </w:rPr>
      </w:pPr>
      <w:r>
        <w:rPr>
          <w:rFonts w:ascii="宋体" w:hAnsi="宋体" w:cs="宋体"/>
          <w:bCs/>
          <w:color w:val="000000"/>
          <w:sz w:val="24"/>
          <w:highlight w:val="none"/>
        </w:rPr>
        <w:br w:type="page" w:clear="all"/>
      </w:r>
      <w:r>
        <w:rPr>
          <w:highlight w:val="none"/>
        </w:rPr>
      </w:r>
      <w:r/>
    </w:p>
    <w:p>
      <w:pPr>
        <w:pStyle w:val="879"/>
        <w:spacing w:line="360" w:lineRule="auto"/>
        <w:widowControl/>
        <w:rPr>
          <w:rFonts w:hint="eastAsia" w:ascii="宋体" w:hAnsi="宋体"/>
          <w:bCs/>
          <w:color w:val="000000"/>
          <w:sz w:val="24"/>
          <w:highlight w:val="none"/>
        </w:rPr>
        <w:outlineLvl w:val="1"/>
      </w:pPr>
      <w:r>
        <w:rPr>
          <w:rFonts w:hint="eastAsia" w:ascii="宋体" w:hAnsi="宋体"/>
          <w:bCs/>
          <w:color w:val="000000"/>
          <w:sz w:val="24"/>
          <w:highlight w:val="none"/>
        </w:rPr>
        <w:t xml:space="preserve">7、设备配备情况表（如有）</w:t>
      </w:r>
      <w:r>
        <w:rPr>
          <w:highlight w:val="none"/>
        </w:rPr>
      </w:r>
      <w:r/>
    </w:p>
    <w:p>
      <w:pPr>
        <w:pStyle w:val="879"/>
        <w:spacing w:line="360" w:lineRule="auto"/>
        <w:widowControl/>
        <w:rPr>
          <w:rFonts w:hint="eastAsia" w:ascii="宋体" w:hAnsi="宋体"/>
          <w:b/>
          <w:color w:val="000000"/>
          <w:sz w:val="24"/>
          <w:highlight w:val="none"/>
        </w:rPr>
        <w:outlineLvl w:val="1"/>
      </w:pPr>
      <w:r>
        <w:rPr>
          <w:rFonts w:hint="eastAsia" w:ascii="宋体" w:hAnsi="宋体"/>
          <w:b/>
          <w:color w:val="000000"/>
          <w:sz w:val="24"/>
          <w:highlight w:val="none"/>
        </w:rPr>
      </w:r>
      <w:r>
        <w:rPr>
          <w:highlight w:val="none"/>
        </w:rPr>
      </w:r>
      <w:r/>
    </w:p>
    <w:p>
      <w:pPr>
        <w:pStyle w:val="1202"/>
        <w:ind w:left="0" w:firstLine="0"/>
        <w:jc w:val="center"/>
        <w:rPr>
          <w:rFonts w:hint="eastAsia" w:ascii="宋体" w:hAnsi="宋体"/>
          <w:b/>
          <w:color w:val="000000"/>
          <w:highlight w:val="none"/>
        </w:rPr>
      </w:pPr>
      <w:r>
        <w:rPr>
          <w:rFonts w:hint="eastAsia" w:ascii="宋体" w:hAnsi="宋体"/>
          <w:b/>
          <w:color w:val="000000"/>
          <w:highlight w:val="none"/>
        </w:rPr>
        <w:t xml:space="preserve">设备配备情况表</w:t>
      </w:r>
      <w:r>
        <w:rPr>
          <w:highlight w:val="none"/>
        </w:rPr>
      </w:r>
      <w:r/>
    </w:p>
    <w:tbl>
      <w:tblPr>
        <w:tblpPr w:horzAnchor="page" w:tblpX="1968" w:vertAnchor="text" w:tblpY="287" w:leftFromText="180" w:topFromText="0" w:rightFromText="180" w:bottomFromText="0"/>
        <w:tblW w:w="0" w:type="auto"/>
        <w:tblInd w:w="-3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6"/>
        <w:gridCol w:w="2418"/>
        <w:gridCol w:w="1930"/>
        <w:gridCol w:w="836"/>
        <w:gridCol w:w="836"/>
        <w:gridCol w:w="1294"/>
      </w:tblGrid>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序号</w:t>
            </w:r>
            <w:r>
              <w:rPr>
                <w:highlight w:val="none"/>
              </w:rPr>
            </w:r>
            <w:r/>
          </w:p>
        </w:tc>
        <w:tc>
          <w:tcPr>
            <w:tcW w:w="2418"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设备名称</w:t>
            </w:r>
            <w:r>
              <w:rPr>
                <w:highlight w:val="none"/>
              </w:rPr>
            </w:r>
            <w:r/>
          </w:p>
        </w:tc>
        <w:tc>
          <w:tcPr>
            <w:tcW w:w="1930" w:type="dxa"/>
            <w:vAlign w:val="center"/>
            <w:textDirection w:val="lrTb"/>
            <w:noWrap w:val="false"/>
          </w:tcPr>
          <w:p>
            <w:pPr>
              <w:pStyle w:val="879"/>
              <w:jc w:val="center"/>
              <w:widowControl/>
              <w:rPr>
                <w:rFonts w:hint="eastAsia" w:ascii="宋体" w:hAnsi="宋体" w:cs="宋体"/>
                <w:color w:val="000000"/>
                <w:sz w:val="24"/>
                <w:highlight w:val="none"/>
              </w:rPr>
              <w:framePr w:vAnchor="text" w:hAnchor="page" w:x="1968" w:y="287"/>
            </w:pPr>
            <w:r>
              <w:rPr>
                <w:rFonts w:hint="eastAsia" w:ascii="宋体" w:hAnsi="宋体" w:cs="宋体"/>
                <w:color w:val="000000"/>
                <w:sz w:val="24"/>
                <w:highlight w:val="none"/>
              </w:rPr>
              <w:t xml:space="preserve">品牌及型号</w:t>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单位</w:t>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数量</w:t>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备注</w:t>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1</w:t>
            </w:r>
            <w:r>
              <w:rPr>
                <w:highlight w:val="none"/>
              </w:rPr>
            </w:r>
            <w:r/>
          </w:p>
        </w:tc>
        <w:tc>
          <w:tcPr>
            <w:tcW w:w="2418" w:type="dxa"/>
            <w:vAlign w:val="center"/>
            <w:textDirection w:val="lrTb"/>
            <w:noWrap w:val="false"/>
          </w:tcPr>
          <w:p>
            <w:pPr>
              <w:pStyle w:val="879"/>
              <w:jc w:val="center"/>
              <w:widowControl/>
              <w:rPr>
                <w:rFonts w:hint="eastAsia" w:ascii="宋体" w:hAnsi="宋体" w:cs="宋体"/>
                <w:color w:val="000000"/>
                <w:sz w:val="24"/>
                <w:highlight w:val="none"/>
              </w:rPr>
              <w:framePr w:vAnchor="text" w:hAnchor="page" w:x="1968" w:y="287"/>
            </w:pPr>
            <w:r>
              <w:rPr>
                <w:rFonts w:hint="eastAsia" w:ascii="宋体" w:hAnsi="宋体" w:cs="宋体"/>
                <w:color w:val="000000"/>
                <w:sz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2</w:t>
            </w:r>
            <w:r>
              <w:rPr>
                <w:highlight w:val="none"/>
              </w:rPr>
            </w:r>
            <w:r/>
          </w:p>
        </w:tc>
        <w:tc>
          <w:tcPr>
            <w:tcW w:w="2418" w:type="dxa"/>
            <w:vAlign w:val="center"/>
            <w:textDirection w:val="lrTb"/>
            <w:noWrap w:val="false"/>
          </w:tcPr>
          <w:p>
            <w:pPr>
              <w:pStyle w:val="879"/>
              <w:jc w:val="center"/>
              <w:widowControl/>
              <w:rPr>
                <w:rFonts w:hint="eastAsia" w:ascii="宋体" w:hAnsi="宋体" w:cs="宋体"/>
                <w:color w:val="000000"/>
                <w:sz w:val="24"/>
                <w:highlight w:val="none"/>
              </w:rPr>
              <w:framePr w:vAnchor="text" w:hAnchor="page" w:x="1968" w:y="287"/>
            </w:pPr>
            <w:r>
              <w:rPr>
                <w:rFonts w:hint="eastAsia" w:ascii="宋体" w:hAnsi="宋体" w:cs="宋体"/>
                <w:color w:val="000000"/>
                <w:sz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3</w:t>
            </w:r>
            <w:r>
              <w:rPr>
                <w:highlight w:val="none"/>
              </w:rPr>
            </w:r>
            <w:r/>
          </w:p>
        </w:tc>
        <w:tc>
          <w:tcPr>
            <w:tcW w:w="2418"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t xml:space="preserve">…</w:t>
            </w:r>
            <w:r>
              <w:rPr>
                <w:highlight w:val="none"/>
              </w:rPr>
            </w:r>
            <w:r/>
          </w:p>
        </w:tc>
        <w:tc>
          <w:tcPr>
            <w:tcW w:w="2418"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2418"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2418"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r>
        <w:trPr>
          <w:cantSplit/>
          <w:trHeight w:val="567"/>
        </w:trPr>
        <w:tc>
          <w:tcPr>
            <w:tcW w:w="91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2418"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930"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836"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c>
          <w:tcPr>
            <w:tcW w:w="1294" w:type="dxa"/>
            <w:vAlign w:val="center"/>
            <w:textDirection w:val="lrTb"/>
            <w:noWrap w:val="false"/>
          </w:tcPr>
          <w:p>
            <w:pPr>
              <w:pStyle w:val="1249"/>
              <w:jc w:val="center"/>
              <w:rPr>
                <w:rFonts w:hint="eastAsia" w:hAnsi="宋体" w:eastAsia="宋体" w:cs="宋体"/>
                <w:color w:val="000000"/>
                <w:sz w:val="24"/>
                <w:szCs w:val="24"/>
                <w:highlight w:val="none"/>
              </w:rPr>
              <w:framePr w:vAnchor="text" w:hAnchor="page" w:x="1968" w:y="287"/>
            </w:pPr>
            <w:r>
              <w:rPr>
                <w:rFonts w:hint="eastAsia" w:hAnsi="宋体" w:eastAsia="宋体" w:cs="宋体"/>
                <w:color w:val="000000"/>
                <w:sz w:val="24"/>
                <w:szCs w:val="24"/>
                <w:highlight w:val="none"/>
              </w:rPr>
            </w:r>
            <w:r>
              <w:rPr>
                <w:highlight w:val="none"/>
              </w:rPr>
            </w:r>
            <w:r/>
          </w:p>
        </w:tc>
      </w:tr>
    </w:tbl>
    <w:p>
      <w:pPr>
        <w:pStyle w:val="879"/>
        <w:spacing w:line="360" w:lineRule="auto"/>
        <w:widowControl/>
        <w:rPr>
          <w:rFonts w:hint="eastAsia" w:ascii="宋体" w:hAnsi="宋体"/>
          <w:bCs/>
          <w:color w:val="000000"/>
          <w:sz w:val="24"/>
          <w:highlight w:val="none"/>
        </w:rPr>
        <w:outlineLvl w:val="1"/>
      </w:pPr>
      <w:r>
        <w:rPr>
          <w:rFonts w:hint="eastAsia" w:ascii="宋体" w:hAnsi="宋体"/>
          <w:bCs/>
          <w:color w:val="000000"/>
          <w:sz w:val="24"/>
          <w:highlight w:val="none"/>
        </w:rPr>
      </w:r>
      <w:r>
        <w:rPr>
          <w:highlight w:val="none"/>
        </w:rPr>
      </w:r>
      <w:r/>
    </w:p>
    <w:p>
      <w:pPr>
        <w:pStyle w:val="879"/>
        <w:spacing w:line="360" w:lineRule="auto"/>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单位：（单位盖章）</w:t>
      </w:r>
      <w:r>
        <w:rPr>
          <w:highlight w:val="none"/>
        </w:rPr>
      </w:r>
      <w:r/>
    </w:p>
    <w:p>
      <w:pPr>
        <w:pStyle w:val="879"/>
        <w:spacing w:line="360" w:lineRule="auto"/>
        <w:rPr>
          <w:rFonts w:ascii="宋体" w:hAnsi="宋体"/>
          <w:color w:val="000000"/>
          <w:sz w:val="24"/>
          <w:highlight w:val="none"/>
        </w:rPr>
      </w:pPr>
      <w:r>
        <w:rPr>
          <w:rFonts w:ascii="宋体" w:hAnsi="宋体"/>
          <w:color w:val="000000"/>
          <w:sz w:val="24"/>
          <w:highlight w:val="none"/>
        </w:rPr>
        <w:t xml:space="preserve">法定代表人或代理人：（签字或盖章）</w:t>
      </w:r>
      <w:r>
        <w:rPr>
          <w:highlight w:val="none"/>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日期：    年    月    日</w:t>
      </w:r>
      <w:r>
        <w:rPr>
          <w:highlight w:val="none"/>
        </w:rPr>
      </w:r>
      <w:r/>
    </w:p>
    <w:p>
      <w:pPr>
        <w:pStyle w:val="879"/>
        <w:rPr>
          <w:rFonts w:hAnsi="宋体"/>
          <w:b/>
          <w:bCs/>
          <w:color w:val="000000"/>
          <w:szCs w:val="21"/>
          <w:highlight w:val="none"/>
        </w:rPr>
      </w:pPr>
      <w:r>
        <w:rPr>
          <w:rFonts w:hAnsi="宋体"/>
          <w:b/>
          <w:bCs/>
          <w:color w:val="000000"/>
          <w:szCs w:val="21"/>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highlight w:val="none"/>
        </w:rPr>
      </w:pPr>
      <w:r>
        <w:rPr>
          <w:rFonts w:ascii="宋体" w:hAnsi="宋体" w:cs="宋体"/>
          <w:color w:val="000000"/>
          <w:highlight w:val="none"/>
        </w:rPr>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br w:type="page" w:clear="all"/>
      </w:r>
      <w:r>
        <w:rPr>
          <w:highlight w:val="none"/>
        </w:rPr>
      </w:r>
      <w:r/>
    </w:p>
    <w:p>
      <w:pPr>
        <w:pStyle w:val="87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8、服务方案</w:t>
      </w:r>
      <w:r>
        <w:rPr>
          <w:highlight w:val="none"/>
        </w:rPr>
      </w:r>
      <w:r/>
    </w:p>
    <w:tbl>
      <w:tblPr>
        <w:tblW w:w="5000"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8"/>
      </w:tblGrid>
      <w:tr>
        <w:trPr>
          <w:trHeight w:val="1797"/>
        </w:trPr>
        <w:tc>
          <w:tcPr>
            <w:tcW w:w="5000" w:type="dxa"/>
            <w:vAlign w:val="top"/>
            <w:textDirection w:val="lrTb"/>
            <w:noWrap w:val="false"/>
          </w:tcPr>
          <w:p>
            <w:pPr>
              <w:pStyle w:val="87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提示：</w:t>
            </w:r>
            <w:r>
              <w:rPr>
                <w:highlight w:val="none"/>
              </w:rPr>
            </w:r>
            <w:r/>
          </w:p>
          <w:p>
            <w:pPr>
              <w:pStyle w:val="879"/>
              <w:numPr>
                <w:ilvl w:val="0"/>
                <w:numId w:val="2"/>
              </w:numPr>
              <w:spacing w:line="360" w:lineRule="auto"/>
              <w:tabs>
                <w:tab w:val="left" w:pos="312" w:leader="none"/>
              </w:tabs>
              <w:rPr>
                <w:rFonts w:ascii="宋体" w:hAnsi="宋体" w:cs="宋体"/>
                <w:bCs/>
                <w:color w:val="000000"/>
                <w:sz w:val="24"/>
                <w:highlight w:val="none"/>
              </w:rPr>
            </w:pPr>
            <w:r>
              <w:rPr>
                <w:rFonts w:hint="eastAsia" w:ascii="宋体" w:hAnsi="宋体" w:cs="宋体"/>
                <w:color w:val="000000"/>
                <w:sz w:val="24"/>
                <w:highlight w:val="none"/>
              </w:rPr>
              <w:t xml:space="preserve">供应商应针对本次采购项目特点及区域的具体情况编写拟采取的服务方案。</w:t>
            </w:r>
            <w:r>
              <w:rPr>
                <w:highlight w:val="none"/>
              </w:rPr>
            </w:r>
            <w:r/>
          </w:p>
          <w:p>
            <w:pPr>
              <w:pStyle w:val="87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2、供应商可根据自身情况编写，本页不够可另加页附后。</w:t>
            </w:r>
            <w:r>
              <w:rPr>
                <w:highlight w:val="none"/>
              </w:rPr>
            </w:r>
            <w:r/>
          </w:p>
        </w:tc>
      </w:tr>
      <w:tr>
        <w:trPr>
          <w:trHeight w:val="9707"/>
        </w:trPr>
        <w:tc>
          <w:tcPr>
            <w:tcW w:w="5000" w:type="dxa"/>
            <w:vAlign w:val="top"/>
            <w:textDirection w:val="lrTb"/>
            <w:noWrap w:val="false"/>
          </w:tcPr>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单位名称（盖章）：</w:t>
            </w:r>
            <w:r>
              <w:rPr>
                <w:rFonts w:hint="eastAsia" w:ascii="宋体" w:hAnsi="宋体" w:cs="宋体"/>
                <w:color w:val="000000"/>
                <w:sz w:val="24"/>
                <w:highlight w:val="none"/>
                <w:u w:val="single"/>
              </w:rPr>
              <w:t xml:space="preserve">                              </w:t>
            </w:r>
            <w:r>
              <w:rPr>
                <w:highlight w:val="none"/>
              </w:rPr>
            </w:r>
            <w:r/>
          </w:p>
        </w:tc>
      </w:tr>
    </w:tbl>
    <w:p>
      <w:pPr>
        <w:pStyle w:val="879"/>
        <w:spacing w:line="360" w:lineRule="auto"/>
        <w:rPr>
          <w:rFonts w:ascii="宋体" w:hAnsi="宋体" w:cs="宋体"/>
          <w:bCs/>
          <w:color w:val="000000"/>
          <w:sz w:val="24"/>
          <w:highlight w:val="none"/>
        </w:rPr>
      </w:pPr>
      <w:r>
        <w:rPr>
          <w:rFonts w:ascii="宋体" w:hAnsi="宋体" w:cs="宋体"/>
          <w:bCs/>
          <w:color w:val="000000"/>
          <w:sz w:val="24"/>
          <w:highlight w:val="none"/>
        </w:rPr>
      </w:r>
      <w:r>
        <w:rPr>
          <w:highlight w:val="none"/>
        </w:rPr>
      </w:r>
      <w:r/>
    </w:p>
    <w:p>
      <w:pPr>
        <w:pStyle w:val="879"/>
        <w:spacing w:line="360" w:lineRule="auto"/>
        <w:rPr>
          <w:rFonts w:ascii="宋体" w:hAnsi="宋体" w:cs="宋体"/>
          <w:bCs/>
          <w:color w:val="000000"/>
          <w:sz w:val="24"/>
          <w:highlight w:val="none"/>
        </w:rPr>
      </w:pPr>
      <w:r>
        <w:rPr>
          <w:rFonts w:ascii="宋体" w:hAnsi="宋体" w:cs="宋体"/>
          <w:bCs/>
          <w:color w:val="000000"/>
          <w:sz w:val="24"/>
          <w:highlight w:val="none"/>
        </w:rPr>
      </w:r>
      <w:r>
        <w:rPr>
          <w:highlight w:val="none"/>
        </w:rPr>
      </w:r>
      <w:r/>
    </w:p>
    <w:p>
      <w:pPr>
        <w:pStyle w:val="879"/>
        <w:spacing w:line="360" w:lineRule="auto"/>
        <w:rPr>
          <w:rFonts w:ascii="宋体" w:hAnsi="宋体" w:cs="宋体"/>
          <w:bCs/>
          <w:color w:val="000000"/>
          <w:sz w:val="24"/>
          <w:highlight w:val="none"/>
        </w:rPr>
      </w:pPr>
      <w:r>
        <w:rPr>
          <w:rFonts w:ascii="宋体" w:hAnsi="宋体" w:cs="宋体"/>
          <w:bCs/>
          <w:color w:val="000000"/>
          <w:sz w:val="24"/>
          <w:highlight w:val="none"/>
        </w:rPr>
      </w:r>
      <w:r>
        <w:rPr>
          <w:highlight w:val="none"/>
        </w:rPr>
      </w:r>
      <w:r/>
    </w:p>
    <w:p>
      <w:pPr>
        <w:pStyle w:val="879"/>
        <w:spacing w:line="360" w:lineRule="auto"/>
        <w:rPr>
          <w:rFonts w:ascii="宋体" w:hAnsi="宋体" w:cs="宋体"/>
          <w:bCs/>
          <w:color w:val="000000"/>
          <w:sz w:val="24"/>
          <w:highlight w:val="none"/>
        </w:rPr>
      </w:pPr>
      <w:r>
        <w:rPr>
          <w:rFonts w:ascii="宋体" w:hAnsi="宋体" w:cs="宋体"/>
          <w:bCs/>
          <w:color w:val="000000"/>
          <w:sz w:val="24"/>
          <w:highlight w:val="none"/>
        </w:rPr>
      </w:r>
      <w:r>
        <w:rPr>
          <w:highlight w:val="none"/>
        </w:rPr>
      </w:r>
      <w:r/>
    </w:p>
    <w:p>
      <w:pPr>
        <w:pStyle w:val="879"/>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9、有关资格证明文件</w:t>
      </w:r>
      <w:r>
        <w:rPr>
          <w:highlight w:val="none"/>
        </w:rPr>
      </w:r>
      <w:r/>
    </w:p>
    <w:p>
      <w:pPr>
        <w:pStyle w:val="879"/>
        <w:ind w:firstLine="4320"/>
        <w:spacing w:line="360" w:lineRule="auto"/>
        <w:rPr>
          <w:rFonts w:ascii="宋体" w:hAnsi="宋体" w:cs="宋体"/>
          <w:bCs/>
          <w:color w:val="000000"/>
          <w:sz w:val="24"/>
          <w:highlight w:val="none"/>
        </w:rPr>
      </w:pPr>
      <w:r>
        <w:rPr>
          <w:rFonts w:ascii="宋体" w:hAnsi="宋体" w:cs="宋体"/>
          <w:bCs/>
          <w:color w:val="000000"/>
          <w:sz w:val="24"/>
          <w:highlight w:val="none"/>
        </w:rPr>
      </w:r>
      <w:r>
        <w:rPr>
          <w:highlight w:val="none"/>
        </w:rPr>
      </w:r>
      <w:r/>
    </w:p>
    <w:p>
      <w:pPr>
        <w:pStyle w:val="879"/>
        <w:spacing w:line="360" w:lineRule="auto"/>
        <w:rPr>
          <w:rFonts w:ascii="宋体" w:hAnsi="宋体" w:cs="宋体"/>
          <w:bCs/>
          <w:color w:val="000000"/>
          <w:sz w:val="24"/>
          <w:highlight w:val="none"/>
        </w:rPr>
        <w:outlineLvl w:val="2"/>
      </w:pPr>
      <w:r>
        <w:rPr>
          <w:rFonts w:hint="eastAsia" w:ascii="宋体" w:hAnsi="宋体" w:cs="宋体"/>
          <w:bCs/>
          <w:color w:val="000000"/>
          <w:sz w:val="24"/>
          <w:highlight w:val="none"/>
        </w:rPr>
        <w:t xml:space="preserve">（1）关于资格文件的声明函</w:t>
      </w:r>
      <w:r>
        <w:rPr>
          <w:highlight w:val="none"/>
        </w:rPr>
      </w:r>
      <w:r/>
    </w:p>
    <w:p>
      <w:pPr>
        <w:pStyle w:val="879"/>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关于资格文件的声明函</w:t>
      </w:r>
      <w:r>
        <w:rPr>
          <w:highlight w:val="none"/>
        </w:rPr>
      </w:r>
      <w:r/>
    </w:p>
    <w:p>
      <w:pPr>
        <w:pStyle w:val="879"/>
        <w:spacing w:line="360" w:lineRule="auto"/>
        <w:rPr>
          <w:rFonts w:ascii="宋体" w:hAnsi="宋体" w:cs="宋体"/>
          <w:color w:val="000000"/>
          <w:sz w:val="24"/>
          <w:highlight w:val="none"/>
          <w:u w:val="single"/>
        </w:rPr>
      </w:pPr>
      <w:r>
        <w:rPr>
          <w:rFonts w:hint="eastAsia" w:ascii="宋体" w:hAnsi="宋体" w:cs="宋体"/>
          <w:color w:val="000000"/>
          <w:sz w:val="24"/>
          <w:highlight w:val="none"/>
          <w:u w:val="single"/>
        </w:rPr>
        <w:t xml:space="preserve">              ：</w:t>
      </w:r>
      <w:r>
        <w:rPr>
          <w:highlight w:val="none"/>
        </w:rPr>
      </w:r>
      <w:r/>
    </w:p>
    <w:p>
      <w:pPr>
        <w:pStyle w:val="87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号的磋商采购活动进行商务磋商。本公司所提交的商务、技术及报价文件中所有关于磋商资格的文件、证明和陈述均是真实的、准确的。若与真实情况不符，本公司愿意承担由此而产生的一切后果。</w:t>
      </w:r>
      <w:r>
        <w:rPr>
          <w:highlight w:val="none"/>
        </w:rPr>
      </w:r>
      <w:r/>
    </w:p>
    <w:p>
      <w:pPr>
        <w:pStyle w:val="879"/>
        <w:ind w:firstLine="4320"/>
        <w:spacing w:line="360" w:lineRule="auto"/>
        <w:rPr>
          <w:rFonts w:ascii="宋体" w:hAnsi="宋体" w:cs="宋体"/>
          <w:color w:val="000000"/>
          <w:sz w:val="24"/>
          <w:highlight w:val="none"/>
        </w:rPr>
      </w:pPr>
      <w:r>
        <w:rPr>
          <w:rFonts w:hint="eastAsia" w:ascii="宋体" w:hAnsi="宋体" w:cs="宋体"/>
          <w:color w:val="000000"/>
          <w:sz w:val="24"/>
          <w:highlight w:val="none"/>
        </w:rPr>
        <w:tab/>
      </w:r>
      <w:r>
        <w:rPr>
          <w:highlight w:val="none"/>
        </w:rPr>
      </w:r>
      <w:r/>
    </w:p>
    <w:p>
      <w:pPr>
        <w:pStyle w:val="879"/>
        <w:ind w:right="-290"/>
        <w:spacing w:line="360" w:lineRule="auto"/>
        <w:tabs>
          <w:tab w:val="left" w:pos="9000" w:leader="none"/>
        </w:tabs>
        <w:rPr>
          <w:rFonts w:ascii="宋体" w:hAnsi="宋体" w:cs="宋体"/>
          <w:color w:val="000000"/>
          <w:sz w:val="24"/>
          <w:highlight w:val="none"/>
        </w:rPr>
      </w:pPr>
      <w:r>
        <w:rPr>
          <w:rFonts w:hint="eastAsia" w:ascii="宋体" w:hAnsi="宋体" w:cs="宋体"/>
          <w:color w:val="000000"/>
          <w:sz w:val="24"/>
          <w:highlight w:val="none"/>
        </w:rPr>
        <w:t xml:space="preserve">供应商：（单位盖章）</w:t>
      </w:r>
      <w:r>
        <w:rPr>
          <w:highlight w:val="none"/>
        </w:rPr>
      </w:r>
      <w:r/>
    </w:p>
    <w:p>
      <w:pPr>
        <w:pStyle w:val="879"/>
        <w:ind w:right="-290"/>
        <w:jc w:val="left"/>
        <w:spacing w:line="360" w:lineRule="auto"/>
        <w:tabs>
          <w:tab w:val="left" w:pos="9000" w:leader="none"/>
        </w:tabs>
        <w:rPr>
          <w:rFonts w:ascii="宋体" w:hAnsi="宋体" w:cs="宋体"/>
          <w:color w:val="000000"/>
          <w:sz w:val="24"/>
          <w:highlight w:val="none"/>
        </w:rPr>
      </w:pPr>
      <w:r>
        <w:rPr>
          <w:rFonts w:hint="eastAsia" w:ascii="宋体" w:hAnsi="宋体" w:cs="宋体"/>
          <w:color w:val="000000"/>
          <w:sz w:val="24"/>
          <w:highlight w:val="none"/>
        </w:rPr>
        <w:t xml:space="preserve">法定代表人或被授权人：（签字或盖章）</w:t>
      </w:r>
      <w:r>
        <w:rPr>
          <w:highlight w:val="none"/>
        </w:rPr>
      </w:r>
      <w:r/>
    </w:p>
    <w:p>
      <w:pPr>
        <w:pStyle w:val="879"/>
        <w:ind w:right="-290"/>
        <w:jc w:val="left"/>
        <w:spacing w:line="360" w:lineRule="auto"/>
        <w:tabs>
          <w:tab w:val="left" w:pos="9000" w:leader="none"/>
        </w:tabs>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br w:type="page" w:clear="all"/>
      </w:r>
      <w:r>
        <w:rPr>
          <w:rFonts w:hint="eastAsia" w:ascii="宋体" w:hAnsi="宋体" w:eastAsia="宋体" w:cs="宋体"/>
          <w:color w:val="000000"/>
          <w:szCs w:val="24"/>
          <w:highlight w:val="none"/>
        </w:rPr>
        <w:t xml:space="preserve">（2）响应单位情况表</w:t>
      </w:r>
      <w:r>
        <w:rPr>
          <w:highlight w:val="none"/>
        </w:rPr>
      </w:r>
      <w:r/>
    </w:p>
    <w:p>
      <w:pPr>
        <w:pStyle w:val="1258"/>
        <w:ind w:firstLine="0"/>
        <w:jc w:val="center"/>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响应单位情况表</w:t>
      </w:r>
      <w:r>
        <w:rPr>
          <w:highlight w:val="none"/>
        </w:rPr>
      </w:r>
      <w:r/>
    </w:p>
    <w:p>
      <w:pPr>
        <w:pStyle w:val="1258"/>
        <w:ind w:firstLine="0"/>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单位名称（盖章）</w:t>
      </w:r>
      <w:r>
        <w:rPr>
          <w:highlight w:val="none"/>
        </w:rPr>
      </w:r>
      <w:r/>
    </w:p>
    <w:tbl>
      <w:tblPr>
        <w:tblW w:w="9473"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法定代表人</w:t>
            </w:r>
            <w:r>
              <w:rPr>
                <w:highlight w:val="none"/>
              </w:rPr>
            </w:r>
            <w:r/>
          </w:p>
        </w:tc>
        <w:tc>
          <w:tcPr>
            <w:tcW w:w="180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c>
          <w:tcPr>
            <w:tcW w:w="2160"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成立日期</w:t>
            </w:r>
            <w:r>
              <w:rPr>
                <w:highlight w:val="none"/>
              </w:rPr>
            </w:r>
            <w:r/>
          </w:p>
        </w:tc>
        <w:tc>
          <w:tcPr>
            <w:gridSpan w:val="2"/>
            <w:tcW w:w="2560" w:type="dxa"/>
            <w:vAlign w:val="top"/>
            <w:textDirection w:val="lrTb"/>
            <w:noWrap w:val="false"/>
          </w:tcPr>
          <w:p>
            <w:pPr>
              <w:pStyle w:val="1258"/>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企业地址</w:t>
            </w:r>
            <w:r>
              <w:rPr>
                <w:highlight w:val="none"/>
              </w:rPr>
            </w:r>
            <w:r/>
          </w:p>
        </w:tc>
        <w:tc>
          <w:tcPr>
            <w:tcW w:w="180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c>
          <w:tcPr>
            <w:tcW w:w="2160"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注册资本</w:t>
            </w:r>
            <w:r>
              <w:rPr>
                <w:highlight w:val="none"/>
              </w:rPr>
            </w:r>
            <w:r/>
          </w:p>
        </w:tc>
        <w:tc>
          <w:tcPr>
            <w:gridSpan w:val="2"/>
            <w:tcW w:w="256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万元</w:t>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经营范围</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职工人数</w:t>
            </w:r>
            <w:r>
              <w:rPr>
                <w:highlight w:val="none"/>
              </w:rPr>
            </w:r>
            <w:r/>
          </w:p>
        </w:tc>
        <w:tc>
          <w:tcPr>
            <w:tcW w:w="180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c>
          <w:tcPr>
            <w:gridSpan w:val="2"/>
            <w:tcW w:w="3600"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其中：有中高级以上职称的人数</w:t>
            </w:r>
            <w:r>
              <w:rPr>
                <w:highlight w:val="none"/>
              </w:rPr>
            </w:r>
            <w:r/>
          </w:p>
        </w:tc>
        <w:tc>
          <w:tcPr>
            <w:tcW w:w="11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资产总计</w:t>
            </w:r>
            <w:r>
              <w:rPr>
                <w:highlight w:val="none"/>
              </w:rPr>
            </w:r>
            <w:r/>
          </w:p>
        </w:tc>
        <w:tc>
          <w:tcPr>
            <w:tcW w:w="180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万元</w:t>
            </w:r>
            <w:r>
              <w:rPr>
                <w:highlight w:val="none"/>
              </w:rPr>
            </w:r>
            <w:r/>
          </w:p>
        </w:tc>
        <w:tc>
          <w:tcPr>
            <w:tcW w:w="2160"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净资产</w:t>
            </w:r>
            <w:r>
              <w:rPr>
                <w:highlight w:val="none"/>
              </w:rPr>
            </w:r>
            <w:r/>
          </w:p>
        </w:tc>
        <w:tc>
          <w:tcPr>
            <w:gridSpan w:val="2"/>
            <w:tcW w:w="2560" w:type="dxa"/>
            <w:vAlign w:val="top"/>
            <w:textDirection w:val="lrTb"/>
            <w:noWrap w:val="false"/>
          </w:tcPr>
          <w:p>
            <w:pPr>
              <w:pStyle w:val="1258"/>
              <w:ind w:firstLine="174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万元</w:t>
            </w:r>
            <w:r>
              <w:rPr>
                <w:highlight w:val="none"/>
              </w:rPr>
            </w:r>
            <w:r/>
          </w:p>
        </w:tc>
      </w:tr>
      <w:tr>
        <w:trPr>
          <w:cantSplit/>
        </w:trPr>
        <w:tc>
          <w:tcPr>
            <w:tcW w:w="2953" w:type="dxa"/>
            <w:vAlign w:val="center"/>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股东权益</w:t>
            </w:r>
            <w:r>
              <w:rPr>
                <w:highlight w:val="none"/>
              </w:rPr>
            </w:r>
            <w:r/>
          </w:p>
        </w:tc>
        <w:tc>
          <w:tcPr>
            <w:tcW w:w="1800" w:type="dxa"/>
            <w:vAlign w:val="center"/>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万元</w:t>
            </w:r>
            <w:r>
              <w:rPr>
                <w:highlight w:val="none"/>
              </w:rPr>
            </w:r>
            <w:r/>
          </w:p>
        </w:tc>
        <w:tc>
          <w:tcPr>
            <w:tcW w:w="2160" w:type="dxa"/>
            <w:vAlign w:val="center"/>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销售收入</w:t>
            </w:r>
            <w:r>
              <w:rPr>
                <w:highlight w:val="none"/>
              </w:rPr>
            </w:r>
            <w:r/>
          </w:p>
        </w:tc>
        <w:tc>
          <w:tcPr>
            <w:gridSpan w:val="2"/>
            <w:tcW w:w="2560" w:type="dxa"/>
            <w:vAlign w:val="top"/>
            <w:textDirection w:val="lrTb"/>
            <w:noWrap w:val="false"/>
          </w:tcPr>
          <w:p>
            <w:pPr>
              <w:pStyle w:val="1258"/>
              <w:ind w:firstLine="0"/>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 2023年       万元</w:t>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实现利润</w:t>
            </w:r>
            <w:r>
              <w:rPr>
                <w:highlight w:val="none"/>
              </w:rPr>
            </w:r>
            <w:r/>
          </w:p>
        </w:tc>
        <w:tc>
          <w:tcPr>
            <w:gridSpan w:val="4"/>
            <w:tcW w:w="6520" w:type="dxa"/>
            <w:vAlign w:val="top"/>
            <w:textDirection w:val="lrTb"/>
            <w:noWrap w:val="false"/>
          </w:tcPr>
          <w:p>
            <w:pPr>
              <w:pStyle w:val="1258"/>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2023年    万元</w:t>
            </w:r>
            <w:r>
              <w:rPr>
                <w:highlight w:val="none"/>
              </w:rPr>
            </w:r>
            <w:r/>
          </w:p>
        </w:tc>
      </w:tr>
      <w:tr>
        <w:trPr>
          <w:cantSplit/>
        </w:trPr>
        <w:tc>
          <w:tcPr>
            <w:tcW w:w="2953" w:type="dxa"/>
            <w:vAlign w:val="center"/>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经营面积</w:t>
            </w:r>
            <w:r>
              <w:rPr>
                <w:highlight w:val="none"/>
              </w:rPr>
            </w:r>
            <w:r/>
          </w:p>
        </w:tc>
        <w:tc>
          <w:tcPr>
            <w:tcW w:w="1800" w:type="dxa"/>
            <w:vAlign w:val="center"/>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平方米</w:t>
            </w:r>
            <w:r>
              <w:rPr>
                <w:highlight w:val="none"/>
              </w:rPr>
            </w:r>
            <w:r/>
          </w:p>
        </w:tc>
        <w:tc>
          <w:tcPr>
            <w:tcW w:w="2160" w:type="dxa"/>
            <w:vAlign w:val="center"/>
            <w:textDirection w:val="lrTb"/>
            <w:noWrap w:val="false"/>
          </w:tcPr>
          <w:p>
            <w:pPr>
              <w:pStyle w:val="1258"/>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其中：</w:t>
            </w:r>
            <w:r>
              <w:rPr>
                <w:highlight w:val="none"/>
              </w:rPr>
            </w:r>
            <w:r/>
          </w:p>
        </w:tc>
        <w:tc>
          <w:tcPr>
            <w:gridSpan w:val="2"/>
            <w:tcW w:w="2560"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自有面积     平方米</w:t>
            </w:r>
            <w:r>
              <w:rPr>
                <w:highlight w:val="none"/>
              </w:rPr>
            </w:r>
            <w:r/>
          </w:p>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承租面积     平方米</w:t>
            </w:r>
            <w:r>
              <w:rPr>
                <w:highlight w:val="none"/>
              </w:rPr>
            </w:r>
            <w:r/>
          </w:p>
        </w:tc>
      </w:tr>
      <w:tr>
        <w:trPr>
          <w:cantSplit/>
          <w:trHeight w:val="389"/>
        </w:trPr>
        <w:tc>
          <w:tcPr>
            <w:tcW w:w="2953" w:type="dxa"/>
            <w:vAlign w:val="center"/>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单位简历及内设机构情况</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Height w:val="255"/>
        </w:trPr>
        <w:tc>
          <w:tcPr>
            <w:tcW w:w="2953" w:type="dxa"/>
            <w:vAlign w:val="center"/>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单位优势及特长</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近三年来完成或正在履行的重大合同情况</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最近2年内在经营过程中受到何种奖励或处分</w:t>
            </w:r>
            <w:r>
              <w:rPr>
                <w:highlight w:val="none"/>
              </w:rPr>
            </w:r>
            <w:r/>
          </w:p>
        </w:tc>
        <w:tc>
          <w:tcPr>
            <w:gridSpan w:val="4"/>
            <w:tcW w:w="6520" w:type="dxa"/>
            <w:vAlign w:val="top"/>
            <w:textDirection w:val="lrTb"/>
            <w:noWrap w:val="false"/>
          </w:tcPr>
          <w:p>
            <w:pPr>
              <w:pStyle w:val="1258"/>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（包括财政、工商、税务、物价、技监部门稽查情况和结果）</w:t>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最近3年内有无因售假、售劣或是其他原因被消费者投诉或起诉的情况及说明</w:t>
            </w:r>
            <w:r>
              <w:rPr>
                <w:highlight w:val="none"/>
              </w:rPr>
            </w:r>
            <w:r/>
          </w:p>
        </w:tc>
        <w:tc>
          <w:tcPr>
            <w:gridSpan w:val="4"/>
            <w:tcW w:w="6520" w:type="dxa"/>
            <w:vAlign w:val="top"/>
            <w:textDirection w:val="lrTb"/>
            <w:noWrap w:val="false"/>
          </w:tcPr>
          <w:p>
            <w:pPr>
              <w:pStyle w:val="1258"/>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（包括解决方式和结果）</w:t>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最近3年内主要负责人有无经济犯罪被司法机关追究的情意及说明</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获得技术认证的工程师及简介</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r>
        <w:trPr>
          <w:cantSplit/>
        </w:trPr>
        <w:tc>
          <w:tcPr>
            <w:tcW w:w="2953" w:type="dxa"/>
            <w:vAlign w:val="top"/>
            <w:textDirection w:val="lrTb"/>
            <w:noWrap w:val="false"/>
          </w:tcPr>
          <w:p>
            <w:pPr>
              <w:pStyle w:val="1258"/>
              <w:ind w:firstLine="0"/>
              <w:jc w:val="both"/>
              <w:spacing w:line="360" w:lineRule="auto"/>
              <w:rPr>
                <w:rFonts w:ascii="宋体" w:hAnsi="宋体" w:eastAsia="宋体" w:cs="宋体"/>
                <w:color w:val="000000"/>
                <w:szCs w:val="24"/>
                <w:highlight w:val="none"/>
              </w:rPr>
              <w:outlineLvl w:val="1"/>
            </w:pPr>
            <w:r>
              <w:rPr>
                <w:rFonts w:hint="eastAsia" w:ascii="宋体" w:hAnsi="宋体" w:eastAsia="宋体" w:cs="宋体"/>
                <w:color w:val="000000"/>
                <w:szCs w:val="24"/>
                <w:highlight w:val="none"/>
              </w:rPr>
              <w:t xml:space="preserve">其他需要说明的情况</w:t>
            </w:r>
            <w:r>
              <w:rPr>
                <w:highlight w:val="none"/>
              </w:rPr>
            </w:r>
            <w:r/>
          </w:p>
        </w:tc>
        <w:tc>
          <w:tcPr>
            <w:gridSpan w:val="4"/>
            <w:tcW w:w="6520" w:type="dxa"/>
            <w:vAlign w:val="top"/>
            <w:textDirection w:val="lrTb"/>
            <w:noWrap w:val="false"/>
          </w:tcPr>
          <w:p>
            <w:pPr>
              <w:pStyle w:val="1258"/>
              <w:jc w:val="both"/>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tc>
      </w:tr>
    </w:tbl>
    <w:p>
      <w:pPr>
        <w:pStyle w:val="1258"/>
        <w:ind w:firstLine="0"/>
        <w:spacing w:line="360" w:lineRule="auto"/>
        <w:rPr>
          <w:rFonts w:ascii="宋体" w:hAnsi="宋体" w:eastAsia="宋体" w:cs="宋体"/>
          <w:color w:val="000000"/>
          <w:szCs w:val="24"/>
          <w:highlight w:val="none"/>
        </w:rPr>
        <w:outlineLvl w:val="1"/>
      </w:pPr>
      <w:r>
        <w:rPr>
          <w:rFonts w:ascii="宋体" w:hAnsi="宋体" w:eastAsia="宋体" w:cs="宋体"/>
          <w:color w:val="000000"/>
          <w:szCs w:val="24"/>
          <w:highlight w:val="none"/>
        </w:rPr>
      </w:r>
      <w:r>
        <w:rPr>
          <w:highlight w:val="none"/>
        </w:rPr>
      </w:r>
      <w:r/>
    </w:p>
    <w:p>
      <w:pPr>
        <w:pStyle w:val="879"/>
        <w:spacing w:line="360" w:lineRule="auto"/>
        <w:rPr>
          <w:rFonts w:ascii="宋体" w:hAnsi="宋体" w:cs="宋体"/>
          <w:bCs/>
          <w:color w:val="000000"/>
          <w:sz w:val="24"/>
          <w:highlight w:val="none"/>
        </w:rPr>
      </w:pPr>
      <w:r>
        <w:rPr>
          <w:rFonts w:ascii="宋体" w:hAnsi="宋体" w:cs="宋体"/>
          <w:bCs/>
          <w:color w:val="000000"/>
          <w:sz w:val="24"/>
          <w:highlight w:val="none"/>
        </w:rPr>
      </w:r>
      <w:r>
        <w:rPr>
          <w:highlight w:val="none"/>
        </w:rPr>
      </w:r>
      <w:r/>
    </w:p>
    <w:p>
      <w:pPr>
        <w:pStyle w:val="879"/>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10、中小企业声明函（格式）</w:t>
      </w:r>
      <w:r>
        <w:rPr>
          <w:highlight w:val="none"/>
        </w:rPr>
      </w:r>
      <w:r/>
    </w:p>
    <w:p>
      <w:pPr>
        <w:pStyle w:val="879"/>
        <w:jc w:val="cente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中小企业声明函（货物）</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 企业发展管理办法》（财库﹝2020﹞46 号）的规定，本公司 （联合体）参加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（项目名称）采购活动，提供的货物全部由符合政策要求的中小企业制造。相关企业（含联合体中的中小企业、签订分包意向协议的中小企业） 的具体情况如下：</w:t>
      </w:r>
      <w:r>
        <w:rPr>
          <w:highlight w:val="none"/>
        </w:rPr>
      </w:r>
      <w:r/>
    </w:p>
    <w:p>
      <w:pPr>
        <w:pStyle w:val="879"/>
        <w:numPr>
          <w:ilvl w:val="0"/>
          <w:numId w:val="3"/>
        </w:numPr>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（标</w:t>
      </w:r>
      <w:r>
        <w:rPr>
          <w:rFonts w:hint="eastAsia" w:ascii="宋体" w:hAnsi="宋体" w:cs="宋体"/>
          <w:color w:val="000000"/>
          <w:sz w:val="24"/>
          <w:highlight w:val="none"/>
        </w:rPr>
        <w:t xml:space="preserve">的</w:t>
      </w:r>
      <w:r>
        <w:rPr>
          <w:rFonts w:ascii="宋体" w:hAnsi="宋体" w:cs="宋体"/>
          <w:color w:val="000000"/>
          <w:sz w:val="24"/>
          <w:highlight w:val="none"/>
        </w:rPr>
        <w:t xml:space="preserve">名称），属于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（采购文件中明确的所属行业） 行业；制造商为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（企业名称），从业人员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（中型企业、小型企业、微型企业）； </w:t>
      </w:r>
      <w:r>
        <w:rPr>
          <w:highlight w:val="none"/>
        </w:rPr>
      </w:r>
      <w:r/>
    </w:p>
    <w:p>
      <w:pPr>
        <w:pStyle w:val="879"/>
        <w:numPr>
          <w:ilvl w:val="0"/>
          <w:numId w:val="3"/>
        </w:numPr>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（标的名称），属于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（采购文件中明确的所属行业）行业；制造商为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（企业名称），从业人员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（中型企业、小型企业、微型企业）；</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 法承担相应责任。</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highlight w:val="none"/>
        </w:rPr>
      </w:r>
      <w:r/>
    </w:p>
    <w:p>
      <w:pPr>
        <w:pStyle w:val="879"/>
        <w:ind w:firstLine="480"/>
        <w:jc w:val="center"/>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                                    企业名称（盖章）</w:t>
      </w:r>
      <w:r>
        <w:rPr>
          <w:rFonts w:hint="eastAsia" w:ascii="宋体" w:hAnsi="宋体" w:cs="宋体"/>
          <w:color w:val="000000"/>
          <w:sz w:val="24"/>
          <w:highlight w:val="none"/>
        </w:rPr>
        <w:t xml:space="preserve">：</w:t>
      </w:r>
      <w:r>
        <w:rPr>
          <w:rFonts w:ascii="宋体" w:hAnsi="宋体" w:cs="宋体"/>
          <w:color w:val="000000"/>
          <w:sz w:val="24"/>
          <w:highlight w:val="none"/>
        </w:rPr>
        <w:t xml:space="preserve"> </w:t>
      </w:r>
      <w:r>
        <w:rPr>
          <w:highlight w:val="none"/>
        </w:rPr>
      </w:r>
      <w:r/>
    </w:p>
    <w:p>
      <w:pPr>
        <w:pStyle w:val="879"/>
        <w:ind w:firstLine="480"/>
        <w:jc w:val="cente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日 期： </w:t>
      </w:r>
      <w:r>
        <w:rPr>
          <w:highlight w:val="none"/>
        </w:rPr>
      </w:r>
      <w:r/>
    </w:p>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rPr>
          <w:rFonts w:ascii="宋体" w:hAnsi="宋体" w:cs="宋体"/>
          <w:color w:val="000000"/>
          <w:highlight w:val="none"/>
        </w:rPr>
      </w:pPr>
      <w:r>
        <w:rPr>
          <w:rFonts w:ascii="宋体" w:hAnsi="宋体" w:cs="宋体"/>
          <w:color w:val="000000"/>
          <w:highlight w:val="none"/>
        </w:rPr>
      </w:r>
      <w:r>
        <w:rPr>
          <w:highlight w:val="none"/>
        </w:rPr>
      </w:r>
      <w:r/>
    </w:p>
    <w:p>
      <w:pPr>
        <w:pStyle w:val="879"/>
        <w:rPr>
          <w:rFonts w:ascii="宋体" w:hAnsi="宋体" w:cs="宋体"/>
          <w:color w:val="000000"/>
          <w:highlight w:val="none"/>
        </w:rPr>
      </w:pPr>
      <w:r>
        <w:rPr>
          <w:rFonts w:ascii="宋体" w:hAnsi="宋体" w:cs="宋体"/>
          <w:color w:val="000000"/>
          <w:highlight w:val="none"/>
        </w:rPr>
      </w:r>
      <w:r>
        <w:rPr>
          <w:highlight w:val="none"/>
        </w:rPr>
      </w:r>
      <w:r/>
    </w:p>
    <w:p>
      <w:pPr>
        <w:pStyle w:val="879"/>
        <w:rPr>
          <w:rFonts w:ascii="宋体" w:hAnsi="宋体" w:cs="宋体"/>
          <w:color w:val="000000"/>
          <w:highlight w:val="none"/>
        </w:rPr>
      </w:pPr>
      <w:r>
        <w:rPr>
          <w:rFonts w:ascii="宋体" w:hAnsi="宋体" w:cs="宋体"/>
          <w:color w:val="000000"/>
          <w:highlight w:val="none"/>
        </w:rPr>
      </w:r>
      <w:r>
        <w:rPr>
          <w:highlight w:val="none"/>
        </w:rPr>
      </w:r>
      <w:r/>
    </w:p>
    <w:p>
      <w:pPr>
        <w:pStyle w:val="879"/>
        <w:rPr>
          <w:rFonts w:ascii="宋体" w:hAnsi="宋体" w:cs="宋体"/>
          <w:color w:val="000000"/>
          <w:sz w:val="24"/>
          <w:highlight w:val="none"/>
        </w:rPr>
      </w:pPr>
      <w:r>
        <w:rPr>
          <w:rFonts w:ascii="宋体" w:hAnsi="宋体" w:cs="宋体"/>
          <w:color w:val="000000"/>
          <w:highlight w:val="none"/>
        </w:rPr>
        <w:br w:type="page" w:clear="all"/>
      </w:r>
      <w:r>
        <w:rPr>
          <w:highlight w:val="none"/>
        </w:rPr>
      </w:r>
      <w:r/>
    </w:p>
    <w:p>
      <w:pPr>
        <w:pStyle w:val="879"/>
        <w:jc w:val="center"/>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中小企业声明函（工程、服务）</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采购活动，工程（服务）的施工（服务）单位全部为符合政策要求的中小企业（或者：服务全部由符合政策要求的中小企业承接）。相关企业（含联合体中的中小企业、签订分包意向协议的中小企业）的具体情况如下： </w:t>
      </w:r>
      <w:r>
        <w:rPr>
          <w:highlight w:val="none"/>
        </w:rPr>
      </w:r>
      <w:r/>
    </w:p>
    <w:p>
      <w:pPr>
        <w:pStyle w:val="879"/>
        <w:numPr>
          <w:ilvl w:val="0"/>
          <w:numId w:val="4"/>
        </w:numPr>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（标的名称），属于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（采购文件中明确的所属行业）；承建（承接）企业为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（企业名称），从业人员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（中型企业、小型企业、微型企业）； </w:t>
      </w:r>
      <w:r>
        <w:rPr>
          <w:highlight w:val="none"/>
        </w:rPr>
      </w:r>
      <w:r/>
    </w:p>
    <w:p>
      <w:pPr>
        <w:pStyle w:val="879"/>
        <w:numPr>
          <w:ilvl w:val="0"/>
          <w:numId w:val="4"/>
        </w:numPr>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（标的名称），属于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（采购文件中明确的所属行业）；承建（承接）企业为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（企业名称），从业人员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（中型企业、 小型企业、微型企业）；</w:t>
      </w:r>
      <w:r>
        <w:rPr>
          <w:highlight w:val="none"/>
        </w:rPr>
      </w:r>
      <w:r/>
    </w:p>
    <w:p>
      <w:pPr>
        <w:pStyle w:val="879"/>
        <w:ind w:left="42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企业名称（盖章）： </w:t>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日 期： </w:t>
      </w:r>
      <w:r>
        <w:rPr>
          <w:highlight w:val="none"/>
        </w:rPr>
      </w:r>
      <w:r/>
    </w:p>
    <w:p>
      <w:pPr>
        <w:pStyle w:val="1178"/>
        <w:rPr>
          <w:rFonts w:hint="eastAsia" w:ascii="宋体" w:hAnsi="宋体"/>
          <w:szCs w:val="21"/>
          <w:highlight w:val="none"/>
        </w:rPr>
      </w:pPr>
      <w:r>
        <w:rPr>
          <w:rFonts w:hint="eastAsia" w:ascii="宋体" w:hAnsi="宋体"/>
          <w:szCs w:val="21"/>
          <w:highlight w:val="none"/>
        </w:rPr>
      </w:r>
      <w:r>
        <w:rPr>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备注：1.从业人员、营业收入、资产总额填报上一年度数据，无上一年度数据的新成立企业可不填报。</w:t>
      </w:r>
      <w:r>
        <w:rPr>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2.在货物采购项目中，货物由中小企业制造，即货物由中小企业生产且使用该中小企业商号或者注册商标。供应商提供的货物既有中小企业制造货物，也有大型企业制造货物的，不享受相应扶持政策。</w:t>
      </w:r>
      <w:r>
        <w:rPr>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rPr>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4.如未对（中型企业、小型企业、微型企业）进行勾选，视同非中小微企业，不可享受相应扶持政策。</w:t>
      </w:r>
      <w:r>
        <w:rPr>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5.中标单位享受中小企业扶持政策的，《中小企业声明函》将随中标结果同时公告。</w:t>
      </w:r>
      <w:r>
        <w:rPr>
          <w:highlight w:val="none"/>
        </w:rPr>
      </w:r>
      <w:r/>
    </w:p>
    <w:p>
      <w:pPr>
        <w:pStyle w:val="879"/>
        <w:spacing w:line="280" w:lineRule="exact"/>
        <w:rPr>
          <w:rFonts w:ascii="宋体" w:hAnsi="宋体"/>
          <w:b/>
          <w:highlight w:val="none"/>
        </w:rPr>
      </w:pPr>
      <w:r>
        <w:rPr>
          <w:rFonts w:hint="eastAsia" w:ascii="宋体" w:hAnsi="宋体"/>
          <w:b/>
          <w:highlight w:val="none"/>
        </w:rPr>
        <w:t xml:space="preserve">附：中小企业划型标准规定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highlight w:val="none"/>
        </w:rPr>
      </w:r>
      <w:r/>
    </w:p>
    <w:p>
      <w:pPr>
        <w:pStyle w:val="879"/>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pStyle w:val="879"/>
        <w:ind w:firstLine="422"/>
        <w:spacing w:line="280" w:lineRule="exact"/>
        <w:rPr>
          <w:rFonts w:ascii="宋体" w:hAnsi="宋体"/>
          <w:highlight w:val="none"/>
        </w:rPr>
      </w:pPr>
      <w:r>
        <w:rPr>
          <w:rFonts w:hint="eastAsia" w:ascii="宋体" w:hAnsi="宋体"/>
          <w:b/>
          <w:highlight w:val="none"/>
        </w:rPr>
        <w:t xml:space="preserve">（十六）</w:t>
      </w:r>
      <w:r>
        <w:rPr>
          <w:rFonts w:hint="eastAsia" w:ascii="宋体" w:hAnsi="宋体"/>
          <w:b/>
          <w:highlight w:val="none"/>
          <w:lang w:val="en-US" w:eastAsia="zh-CN"/>
        </w:rPr>
        <w:t xml:space="preserve">其他未列明行业</w:t>
      </w:r>
      <w:r>
        <w:rPr>
          <w:rFonts w:hint="eastAsia" w:ascii="宋体" w:hAnsi="宋体"/>
          <w:b/>
          <w:highlight w:val="none"/>
        </w:rPr>
        <w:t xml:space="preserve">。</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pStyle w:val="879"/>
        <w:rPr>
          <w:rFonts w:ascii="宋体" w:hAnsi="宋体"/>
          <w:highlight w:val="none"/>
        </w:rPr>
      </w:pPr>
      <w:r>
        <w:rPr>
          <w:rFonts w:ascii="宋体" w:hAnsi="宋体"/>
          <w:highlight w:val="none"/>
        </w:rPr>
      </w:r>
      <w:r>
        <w:rPr>
          <w:highlight w:val="none"/>
        </w:rPr>
      </w:r>
      <w:r/>
    </w:p>
    <w:p>
      <w:pPr>
        <w:pStyle w:val="1176"/>
        <w:rPr>
          <w:rFonts w:ascii="宋体" w:hAnsi="宋体"/>
          <w:highlight w:val="none"/>
        </w:rPr>
      </w:pPr>
      <w:r>
        <w:rPr>
          <w:rFonts w:ascii="宋体" w:hAnsi="宋体"/>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br w:type="page" w:clear="all"/>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11、投标（响应）保证承诺书（参考格式）</w:t>
      </w:r>
      <w:r>
        <w:rPr>
          <w:highlight w:val="none"/>
        </w:rPr>
      </w:r>
      <w:r/>
    </w:p>
    <w:p>
      <w:pPr>
        <w:pStyle w:val="879"/>
        <w:jc w:val="center"/>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cs/>
        </w:rPr>
        <w:t xml:space="preserve"> </w:t>
      </w:r>
      <w:r>
        <w:rPr>
          <w:rFonts w:hint="eastAsia" w:ascii="宋体" w:hAnsi="宋体" w:cs="宋体"/>
          <w:color w:val="000000"/>
          <w:sz w:val="24"/>
          <w:highlight w:val="none"/>
          <w:u w:val="single"/>
        </w:rPr>
        <w:t xml:space="preserve">（采购代理机构名称）</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cs/>
        </w:rPr>
        <w:t xml:space="preserve">     </w:t>
      </w:r>
      <w:r>
        <w:rPr>
          <w:rFonts w:ascii="宋体" w:hAnsi="宋体" w:cs="宋体"/>
          <w:color w:val="000000"/>
          <w:sz w:val="24"/>
          <w:highlight w:val="none"/>
        </w:rPr>
        <w:t xml:space="preserve">（项目名称和项目编号）的投标（响应）,并</w:t>
      </w:r>
      <w:r>
        <w:rPr>
          <w:rFonts w:hint="eastAsia" w:ascii="宋体" w:hAnsi="宋体" w:cs="宋体"/>
          <w:color w:val="000000"/>
          <w:sz w:val="24"/>
          <w:highlight w:val="none"/>
        </w:rPr>
        <w:t xml:space="preserve">做</w:t>
      </w:r>
      <w:r>
        <w:rPr>
          <w:rFonts w:ascii="宋体" w:hAnsi="宋体" w:cs="宋体"/>
          <w:color w:val="000000"/>
          <w:sz w:val="24"/>
          <w:highlight w:val="none"/>
        </w:rPr>
        <w:t xml:space="preserve">出如下承诺：</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投标（响应）人：（盖公章）</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cs/>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cs/>
        </w:rPr>
        <w:t xml:space="preserve">              </w:t>
      </w:r>
      <w:r>
        <w:rPr>
          <w:rFonts w:hint="eastAsia" w:ascii="宋体" w:hAnsi="宋体" w:cs="宋体"/>
          <w:color w:val="000000"/>
          <w:sz w:val="24"/>
          <w:highlight w:val="none"/>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cs/>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cs/>
        </w:rPr>
        <w:t xml:space="preserve">                </w:t>
      </w:r>
      <w:r>
        <w:rPr>
          <w:rFonts w:hint="eastAsia" w:ascii="宋体" w:hAnsi="宋体" w:cs="宋体"/>
          <w:color w:val="000000"/>
          <w:sz w:val="24"/>
          <w:highlight w:val="none"/>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cs/>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t xml:space="preserve">法定代表人或委托代理人(签字或签章)</w:t>
      </w:r>
      <w:r>
        <w:rPr>
          <w:rFonts w:hint="eastAsia" w:ascii="宋体" w:hAnsi="宋体" w:cs="宋体"/>
          <w:color w:val="000000"/>
          <w:sz w:val="24"/>
          <w:highlight w:val="none"/>
        </w:rPr>
        <w:t xml:space="preserve">：</w:t>
      </w:r>
      <w:r>
        <w:rPr>
          <w:rFonts w:hint="eastAsia" w:ascii="宋体" w:hAnsi="宋体" w:cs="宋体"/>
          <w:color w:val="000000"/>
          <w:sz w:val="24"/>
          <w:highlight w:val="none"/>
          <w:cs/>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cs/>
        </w:rPr>
        <w:t xml:space="preserve">      </w:t>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1264"/>
        <w:rPr>
          <w:rFonts w:ascii="宋体" w:hAnsi="宋体" w:eastAsia="宋体" w:cs="宋体"/>
          <w:color w:val="000000"/>
          <w:highlight w:val="none"/>
        </w:rPr>
      </w:pPr>
      <w:r>
        <w:rPr>
          <w:rFonts w:ascii="宋体" w:hAnsi="宋体" w:eastAsia="宋体" w:cs="宋体"/>
          <w:color w:val="000000"/>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12、残疾人福利性单位声明函（格式）</w:t>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ind w:firstLine="480"/>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highlight w:val="none"/>
          <w:u w:val="single"/>
        </w:rPr>
        <w:t xml:space="preserve">___       ___</w:t>
      </w:r>
      <w:r>
        <w:rPr>
          <w:rFonts w:hint="eastAsia" w:ascii="宋体" w:hAnsi="宋体" w:cs="宋体"/>
          <w:color w:val="000000"/>
          <w:sz w:val="24"/>
          <w:highlight w:val="none"/>
        </w:rPr>
        <w:t xml:space="preserve">单位的___</w:t>
      </w:r>
      <w:r>
        <w:rPr>
          <w:rFonts w:hint="eastAsia" w:ascii="宋体" w:hAnsi="宋体" w:cs="宋体"/>
          <w:color w:val="000000"/>
          <w:sz w:val="24"/>
          <w:highlight w:val="none"/>
          <w:u w:val="single"/>
        </w:rPr>
        <w:t xml:space="preserve">_      _</w:t>
      </w:r>
      <w:r>
        <w:rPr>
          <w:rFonts w:hint="eastAsia" w:ascii="宋体" w:hAnsi="宋体" w:cs="宋体"/>
          <w:color w:val="000000"/>
          <w:sz w:val="24"/>
          <w:highlight w:val="none"/>
        </w:rPr>
        <w:t xml:space="preserve">_项目采购活动提供本单位制造的货物（由本单位承担工程/提供服务），或者提供其他残疾人福利性单位制造的货物（不包括使用非残疾人福利性单位注册商标的货物）。</w:t>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单位名称（盖章）：</w:t>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  日  期：</w:t>
      </w:r>
      <w:r>
        <w:rPr>
          <w:highlight w:val="none"/>
        </w:rPr>
      </w:r>
      <w:r/>
    </w:p>
    <w:p>
      <w:pPr>
        <w:pStyle w:val="1258"/>
        <w:ind w:firstLine="0"/>
        <w:jc w:val="both"/>
        <w:spacing w:before="156" w:after="156" w:line="360" w:lineRule="auto"/>
        <w:rPr>
          <w:rFonts w:ascii="宋体" w:hAnsi="宋体" w:eastAsia="宋体" w:cs="宋体"/>
          <w:color w:val="000000"/>
          <w:szCs w:val="24"/>
          <w:highlight w:val="none"/>
        </w:rPr>
        <w:outlineLvl w:val="2"/>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13、</w:t>
      </w:r>
      <w:r>
        <w:rPr>
          <w:rFonts w:hint="eastAsia" w:ascii="宋体" w:hAnsi="宋体" w:eastAsia="宋体" w:cs="宋体"/>
          <w:color w:val="000000"/>
          <w:szCs w:val="24"/>
          <w:highlight w:val="none"/>
        </w:rPr>
        <w:t xml:space="preserve">开票信息</w:t>
      </w:r>
      <w:r>
        <w:rPr>
          <w:highlight w:val="none"/>
        </w:rPr>
      </w:r>
      <w:r/>
    </w:p>
    <w:p>
      <w:pPr>
        <w:pStyle w:val="879"/>
        <w:ind w:left="420"/>
        <w:spacing w:after="120"/>
        <w:rPr>
          <w:rFonts w:ascii="宋体" w:hAnsi="宋体" w:cs="宋体"/>
          <w:b/>
          <w:bCs/>
          <w:color w:val="000000"/>
          <w:highlight w:val="none"/>
        </w:rPr>
      </w:pPr>
      <w:r>
        <w:rPr>
          <w:rFonts w:ascii="宋体" w:hAnsi="宋体" w:cs="宋体"/>
          <w:b/>
          <w:bCs/>
          <w:color w:val="000000"/>
          <w:highlight w:val="none"/>
        </w:rPr>
      </w:r>
      <w:r>
        <w:rPr>
          <w:highlight w:val="none"/>
        </w:rPr>
      </w:r>
      <w:r/>
    </w:p>
    <w:p>
      <w:pPr>
        <w:pStyle w:val="879"/>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开票信息</w:t>
      </w:r>
      <w:r>
        <w:rPr>
          <w:highlight w:val="none"/>
        </w:rPr>
      </w:r>
      <w:r/>
    </w:p>
    <w:tbl>
      <w:tblPr>
        <w:tblW w:w="9628" w:type="dxa"/>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trHeight w:val="567"/>
        </w:trPr>
        <w:tc>
          <w:tcPr>
            <w:tcW w:w="2992"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供应商名称</w:t>
            </w:r>
            <w:r>
              <w:rPr>
                <w:highlight w:val="none"/>
              </w:rPr>
            </w:r>
            <w:r/>
          </w:p>
        </w:tc>
        <w:tc>
          <w:tcPr>
            <w:tcW w:w="6636" w:type="dxa"/>
            <w:vAlign w:val="center"/>
            <w:textDirection w:val="lrTb"/>
            <w:noWrap w:val="false"/>
          </w:tcPr>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2992"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地址</w:t>
            </w:r>
            <w:r>
              <w:rPr>
                <w:highlight w:val="none"/>
              </w:rPr>
            </w:r>
            <w:r/>
          </w:p>
        </w:tc>
        <w:tc>
          <w:tcPr>
            <w:tcW w:w="6636" w:type="dxa"/>
            <w:vAlign w:val="center"/>
            <w:textDirection w:val="lrTb"/>
            <w:noWrap w:val="false"/>
          </w:tcPr>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2992"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电话</w:t>
            </w:r>
            <w:r>
              <w:rPr>
                <w:highlight w:val="none"/>
              </w:rPr>
            </w:r>
            <w:r/>
          </w:p>
        </w:tc>
        <w:tc>
          <w:tcPr>
            <w:tcW w:w="6636" w:type="dxa"/>
            <w:vAlign w:val="center"/>
            <w:textDirection w:val="lrTb"/>
            <w:noWrap w:val="false"/>
          </w:tcPr>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2992"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税号</w:t>
            </w:r>
            <w:r>
              <w:rPr>
                <w:highlight w:val="none"/>
              </w:rPr>
            </w:r>
            <w:r/>
          </w:p>
        </w:tc>
        <w:tc>
          <w:tcPr>
            <w:tcW w:w="6636" w:type="dxa"/>
            <w:vAlign w:val="center"/>
            <w:textDirection w:val="lrTb"/>
            <w:noWrap w:val="false"/>
          </w:tcPr>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2992"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开户行</w:t>
            </w:r>
            <w:r>
              <w:rPr>
                <w:highlight w:val="none"/>
              </w:rPr>
            </w:r>
            <w:r/>
          </w:p>
        </w:tc>
        <w:tc>
          <w:tcPr>
            <w:tcW w:w="6636" w:type="dxa"/>
            <w:vAlign w:val="center"/>
            <w:textDirection w:val="lrTb"/>
            <w:noWrap w:val="false"/>
          </w:tcPr>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tc>
      </w:tr>
      <w:tr>
        <w:trPr>
          <w:trHeight w:val="567"/>
        </w:trPr>
        <w:tc>
          <w:tcPr>
            <w:tcW w:w="2992"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银行账号</w:t>
            </w:r>
            <w:r>
              <w:rPr>
                <w:highlight w:val="none"/>
              </w:rPr>
            </w:r>
            <w:r/>
          </w:p>
        </w:tc>
        <w:tc>
          <w:tcPr>
            <w:tcW w:w="6636" w:type="dxa"/>
            <w:vAlign w:val="center"/>
            <w:textDirection w:val="lrTb"/>
            <w:noWrap w:val="false"/>
          </w:tcPr>
          <w:p>
            <w:pPr>
              <w:pStyle w:val="879"/>
              <w:rPr>
                <w:rFonts w:ascii="宋体" w:hAnsi="宋体" w:cs="宋体"/>
                <w:color w:val="000000"/>
                <w:sz w:val="24"/>
                <w:highlight w:val="none"/>
              </w:rPr>
            </w:pPr>
            <w:r>
              <w:rPr>
                <w:rFonts w:ascii="宋体" w:hAnsi="宋体" w:cs="宋体"/>
                <w:color w:val="000000"/>
                <w:sz w:val="24"/>
                <w:highlight w:val="none"/>
              </w:rPr>
            </w:r>
            <w:r>
              <w:rPr>
                <w:highlight w:val="none"/>
              </w:rPr>
            </w:r>
            <w:r/>
          </w:p>
        </w:tc>
      </w:tr>
    </w:tbl>
    <w:p>
      <w:pPr>
        <w:pStyle w:val="879"/>
        <w:spacing w:line="360" w:lineRule="auto"/>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918"/>
        <w:ind w:firstLine="480"/>
        <w:rPr>
          <w:rFonts w:hAnsi="宋体" w:cs="宋体"/>
          <w:color w:val="000000"/>
          <w:sz w:val="24"/>
          <w:highlight w:val="none"/>
        </w:rPr>
      </w:pPr>
      <w:r>
        <w:rPr>
          <w:rFonts w:hAnsi="宋体" w:cs="宋体"/>
          <w:color w:val="000000"/>
          <w:sz w:val="24"/>
          <w:highlight w:val="none"/>
        </w:rPr>
      </w:r>
      <w:r>
        <w:rPr>
          <w:highlight w:val="none"/>
        </w:rPr>
      </w:r>
      <w:r/>
    </w:p>
    <w:p>
      <w:pPr>
        <w:pStyle w:val="1234"/>
        <w:rPr>
          <w:rFonts w:ascii="宋体" w:hAnsi="宋体" w:cs="宋体"/>
          <w:highlight w:val="none"/>
        </w:rPr>
      </w:pPr>
      <w:r>
        <w:rPr>
          <w:rFonts w:ascii="宋体" w:hAnsi="宋体" w:cs="宋体"/>
          <w:highlight w:val="none"/>
        </w:rPr>
      </w:r>
      <w:r>
        <w:rPr>
          <w:highlight w:val="none"/>
        </w:rPr>
      </w:r>
      <w:r/>
    </w:p>
    <w:p>
      <w:pPr>
        <w:pStyle w:val="879"/>
        <w:ind w:firstLine="57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highlight w:val="none"/>
        </w:rPr>
      </w:r>
      <w:r/>
    </w:p>
    <w:p>
      <w:pPr>
        <w:pStyle w:val="879"/>
        <w:ind w:firstLine="57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w:t>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ascii="宋体" w:hAnsi="宋体" w:cs="宋体"/>
          <w:color w:val="000000"/>
          <w:sz w:val="24"/>
          <w:highlight w:val="none"/>
        </w:rPr>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p>
      <w:pPr>
        <w:pStyle w:val="879"/>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14、供应商与其他单位存在控股、管理关系情况表</w:t>
      </w:r>
      <w:r>
        <w:rPr>
          <w:highlight w:val="none"/>
        </w:rPr>
      </w:r>
      <w:r/>
    </w:p>
    <w:p>
      <w:pPr>
        <w:pStyle w:val="879"/>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3"/>
          <w:sz w:val="24"/>
          <w:highlight w:val="none"/>
        </w:rPr>
        <w:t xml:space="preserve">供应商与其他单位存在控股、管理关系情况表</w:t>
      </w:r>
      <w:r>
        <w:rPr>
          <w:highlight w:val="none"/>
        </w:rPr>
      </w:r>
      <w:r/>
    </w:p>
    <w:tbl>
      <w:tblPr>
        <w:tblW w:w="9284"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85"/>
        <w:gridCol w:w="4399"/>
      </w:tblGrid>
      <w:tr>
        <w:trPr>
          <w:trHeight w:val="624"/>
        </w:trPr>
        <w:tc>
          <w:tcPr>
            <w:tcMar>
              <w:left w:w="0" w:type="dxa"/>
              <w:top w:w="0" w:type="dxa"/>
              <w:right w:w="0" w:type="dxa"/>
              <w:bottom w:w="0" w:type="dxa"/>
            </w:tcMar>
            <w:tcW w:w="4885" w:type="dxa"/>
            <w:vAlign w:val="top"/>
            <w:textDirection w:val="lrTb"/>
            <w:noWrap w:val="false"/>
          </w:tcPr>
          <w:p>
            <w:pPr>
              <w:pStyle w:val="879"/>
              <w:ind w:firstLine="47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3"/>
                <w:sz w:val="24"/>
                <w:highlight w:val="none"/>
              </w:rPr>
              <w:t xml:space="preserve">与供应商存在控股、管理关系的单位名称</w:t>
            </w:r>
            <w:r>
              <w:rPr>
                <w:highlight w:val="none"/>
              </w:rPr>
            </w:r>
            <w:r/>
          </w:p>
        </w:tc>
        <w:tc>
          <w:tcPr>
            <w:tcMar>
              <w:left w:w="0" w:type="dxa"/>
              <w:top w:w="0" w:type="dxa"/>
              <w:right w:w="0" w:type="dxa"/>
              <w:bottom w:w="0" w:type="dxa"/>
            </w:tcMar>
            <w:tcW w:w="4399" w:type="dxa"/>
            <w:vAlign w:val="top"/>
            <w:textDirection w:val="lrTb"/>
            <w:noWrap w:val="false"/>
          </w:tcPr>
          <w:p>
            <w:pPr>
              <w:pStyle w:val="879"/>
              <w:ind w:firstLine="478"/>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
                <w:sz w:val="24"/>
                <w:highlight w:val="none"/>
              </w:rPr>
              <w:t xml:space="preserve">控股、管理关系情况说明</w:t>
            </w:r>
            <w:r>
              <w:rPr>
                <w:highlight w:val="none"/>
              </w:rPr>
            </w:r>
            <w:r/>
          </w:p>
        </w:tc>
      </w:tr>
      <w:tr>
        <w:trPr>
          <w:trHeight w:val="848"/>
        </w:trPr>
        <w:tc>
          <w:tcPr>
            <w:tcMar>
              <w:left w:w="0" w:type="dxa"/>
              <w:top w:w="0" w:type="dxa"/>
              <w:right w:w="0" w:type="dxa"/>
              <w:bottom w:w="0" w:type="dxa"/>
            </w:tcMar>
            <w:tcW w:w="4885"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0" w:type="dxa"/>
              <w:top w:w="0" w:type="dxa"/>
              <w:right w:w="0" w:type="dxa"/>
              <w:bottom w:w="0" w:type="dxa"/>
            </w:tcMar>
            <w:tcW w:w="4399"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849"/>
        </w:trPr>
        <w:tc>
          <w:tcPr>
            <w:tcMar>
              <w:left w:w="0" w:type="dxa"/>
              <w:top w:w="0" w:type="dxa"/>
              <w:right w:w="0" w:type="dxa"/>
              <w:bottom w:w="0" w:type="dxa"/>
            </w:tcMar>
            <w:tcW w:w="4885"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0" w:type="dxa"/>
              <w:top w:w="0" w:type="dxa"/>
              <w:right w:w="0" w:type="dxa"/>
              <w:bottom w:w="0" w:type="dxa"/>
            </w:tcMar>
            <w:tcW w:w="4399"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848"/>
        </w:trPr>
        <w:tc>
          <w:tcPr>
            <w:tcMar>
              <w:left w:w="0" w:type="dxa"/>
              <w:top w:w="0" w:type="dxa"/>
              <w:right w:w="0" w:type="dxa"/>
              <w:bottom w:w="0" w:type="dxa"/>
            </w:tcMar>
            <w:tcW w:w="4885"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0" w:type="dxa"/>
              <w:top w:w="0" w:type="dxa"/>
              <w:right w:w="0" w:type="dxa"/>
              <w:bottom w:w="0" w:type="dxa"/>
            </w:tcMar>
            <w:tcW w:w="4399"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849"/>
        </w:trPr>
        <w:tc>
          <w:tcPr>
            <w:tcMar>
              <w:left w:w="0" w:type="dxa"/>
              <w:top w:w="0" w:type="dxa"/>
              <w:right w:w="0" w:type="dxa"/>
              <w:bottom w:w="0" w:type="dxa"/>
            </w:tcMar>
            <w:tcW w:w="4885"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0" w:type="dxa"/>
              <w:top w:w="0" w:type="dxa"/>
              <w:right w:w="0" w:type="dxa"/>
              <w:bottom w:w="0" w:type="dxa"/>
            </w:tcMar>
            <w:tcW w:w="4399"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838"/>
        </w:trPr>
        <w:tc>
          <w:tcPr>
            <w:tcMar>
              <w:left w:w="0" w:type="dxa"/>
              <w:top w:w="0" w:type="dxa"/>
              <w:right w:w="0" w:type="dxa"/>
              <w:bottom w:w="0" w:type="dxa"/>
            </w:tcMar>
            <w:tcW w:w="4885"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0" w:type="dxa"/>
              <w:top w:w="0" w:type="dxa"/>
              <w:right w:w="0" w:type="dxa"/>
              <w:bottom w:w="0" w:type="dxa"/>
            </w:tcMar>
            <w:tcW w:w="4399"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r>
        <w:trPr>
          <w:trHeight w:val="864"/>
        </w:trPr>
        <w:tc>
          <w:tcPr>
            <w:tcMar>
              <w:left w:w="0" w:type="dxa"/>
              <w:top w:w="0" w:type="dxa"/>
              <w:right w:w="0" w:type="dxa"/>
              <w:bottom w:w="0" w:type="dxa"/>
            </w:tcMar>
            <w:tcW w:w="4885"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c>
          <w:tcPr>
            <w:tcMar>
              <w:left w:w="0" w:type="dxa"/>
              <w:top w:w="0" w:type="dxa"/>
              <w:right w:w="0" w:type="dxa"/>
              <w:bottom w:w="0" w:type="dxa"/>
            </w:tcMar>
            <w:tcW w:w="4399" w:type="dxa"/>
            <w:vAlign w:val="top"/>
            <w:textDirection w:val="lrTb"/>
            <w:noWrap w:val="false"/>
          </w:tcPr>
          <w:p>
            <w:pPr>
              <w:pStyle w:val="879"/>
              <w:ind w:firstLine="48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highlight w:val="none"/>
              </w:rPr>
            </w:r>
            <w:r/>
          </w:p>
        </w:tc>
      </w:tr>
    </w:tbl>
    <w:p>
      <w:pPr>
        <w:pStyle w:val="879"/>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注：供应商应当按实填写所有与之有控股、管理关系的情况</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 </w:t>
      </w:r>
      <w:r>
        <w:rPr>
          <w:highlight w:val="none"/>
        </w:rPr>
      </w:r>
      <w:r/>
    </w:p>
    <w:p>
      <w:pPr>
        <w:pStyle w:val="879"/>
        <w:ind w:firstLine="576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单位名称（盖章）：</w:t>
      </w:r>
      <w:r>
        <w:rPr>
          <w:highlight w:val="none"/>
        </w:rPr>
      </w:r>
      <w:r/>
    </w:p>
    <w:p>
      <w:pPr>
        <w:pStyle w:val="879"/>
        <w:ind w:firstLine="576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  期：</w:t>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rPr>
          <w:rFonts w:ascii="宋体" w:hAnsi="宋体" w:cs="宋体"/>
          <w:color w:val="000000"/>
          <w:highlight w:val="none"/>
        </w:rPr>
      </w:pPr>
      <w:r>
        <w:rPr>
          <w:rFonts w:ascii="宋体" w:hAnsi="宋体" w:cs="宋体"/>
          <w:color w:val="000000"/>
          <w:highlight w:val="none"/>
        </w:rPr>
      </w:r>
      <w:r>
        <w:rPr>
          <w:highlight w:val="none"/>
        </w:rPr>
      </w:r>
      <w:r/>
    </w:p>
    <w:p>
      <w:pPr>
        <w:pStyle w:val="879"/>
        <w:ind w:firstLine="424"/>
        <w:spacing w:line="360" w:lineRule="auto"/>
        <w:tabs>
          <w:tab w:val="left" w:pos="360" w:leader="none"/>
        </w:tabs>
        <w:rPr>
          <w:rFonts w:hint="eastAsia" w:ascii="宋体" w:hAnsi="宋体" w:cs="宋体"/>
          <w:b/>
          <w:bCs/>
          <w:color w:val="000000"/>
          <w:sz w:val="24"/>
          <w:highlight w:val="none"/>
        </w:rPr>
      </w:pPr>
      <w:r>
        <w:rPr>
          <w:rFonts w:hAnsi="宋体"/>
          <w:sz w:val="24"/>
          <w:highlight w:val="none"/>
        </w:rPr>
        <w:br w:type="page" w:clear="all"/>
      </w:r>
      <w:r>
        <w:rPr>
          <w:highlight w:val="none"/>
        </w:rPr>
      </w:r>
      <w:r/>
    </w:p>
    <w:p>
      <w:pPr>
        <w:pStyle w:val="879"/>
        <w:jc w:val="left"/>
        <w:spacing w:line="360" w:lineRule="auto"/>
        <w:tabs>
          <w:tab w:val="left" w:pos="8930" w:leader="none"/>
          <w:tab w:val="left" w:pos="9306" w:leader="none"/>
        </w:tabs>
        <w:rPr>
          <w:rFonts w:ascii="宋体" w:hAnsi="宋体" w:cs="宋体"/>
          <w:color w:val="000000"/>
          <w:sz w:val="24"/>
          <w:highlight w:val="none"/>
        </w:rPr>
      </w:pPr>
      <w:r>
        <w:rPr>
          <w:rFonts w:hint="eastAsia" w:ascii="宋体" w:hAnsi="宋体" w:cs="宋体"/>
          <w:color w:val="000000"/>
          <w:sz w:val="24"/>
          <w:highlight w:val="none"/>
        </w:rPr>
        <w:t xml:space="preserve">15、响应单位资格承诺书</w:t>
      </w:r>
      <w:r>
        <w:rPr>
          <w:highlight w:val="none"/>
        </w:rPr>
      </w:r>
      <w:r/>
    </w:p>
    <w:p>
      <w:pPr>
        <w:pStyle w:val="879"/>
        <w:jc w:val="cente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rPr>
          <w:highlight w:val="none"/>
        </w:rPr>
      </w:r>
      <w:r/>
    </w:p>
    <w:p>
      <w:pPr>
        <w:pStyle w:val="879"/>
        <w:jc w:val="center"/>
        <w:spacing w:line="360" w:lineRule="auto"/>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响应单位资格承诺书</w:t>
      </w:r>
      <w:r>
        <w:rPr>
          <w:highlight w:val="none"/>
        </w:rPr>
      </w:r>
      <w:r/>
    </w:p>
    <w:p>
      <w:pPr>
        <w:pStyle w:val="87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79"/>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：（公章）                          采购编号：             号</w:t>
      </w:r>
      <w:r>
        <w:rPr>
          <w:highlight w:val="none"/>
        </w:rPr>
      </w:r>
      <w:r/>
    </w:p>
    <w:tbl>
      <w:tblPr>
        <w:tblW w:w="8849"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558"/>
        <w:gridCol w:w="1322"/>
        <w:gridCol w:w="3141"/>
      </w:tblGrid>
      <w:tr>
        <w:trPr>
          <w:trHeight w:val="696"/>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lang w:val="zh-CN"/>
              </w:rPr>
              <w:t xml:space="preserve">序号</w:t>
            </w:r>
            <w:r>
              <w:rPr>
                <w:highlight w:val="none"/>
              </w:rPr>
            </w:r>
            <w:r/>
          </w:p>
        </w:tc>
        <w:tc>
          <w:tcPr>
            <w:tcW w:w="355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lang w:val="zh-CN"/>
              </w:rPr>
              <w:t xml:space="preserve">磋商响应单位部分资格要求</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lang w:val="zh-CN"/>
              </w:rPr>
              <w:t xml:space="preserve">是否完全满足</w:t>
            </w:r>
            <w:r>
              <w:rPr>
                <w:highlight w:val="none"/>
              </w:rPr>
            </w:r>
            <w:r/>
          </w:p>
        </w:tc>
        <w:tc>
          <w:tcPr>
            <w:tcW w:w="3141"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lang w:val="zh-CN"/>
              </w:rPr>
              <w:t xml:space="preserve">备注</w:t>
            </w:r>
            <w:r>
              <w:rPr>
                <w:highlight w:val="none"/>
              </w:rPr>
            </w:r>
            <w:r/>
          </w:p>
        </w:tc>
      </w:tr>
      <w:tr>
        <w:trPr>
          <w:trHeight w:val="660"/>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1</w:t>
            </w:r>
            <w:r>
              <w:rPr>
                <w:highlight w:val="none"/>
              </w:rPr>
            </w:r>
            <w:r/>
          </w:p>
        </w:tc>
        <w:tc>
          <w:tcPr>
            <w:tcW w:w="3558"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highlight w:val="none"/>
              </w:rPr>
            </w:r>
            <w:r/>
          </w:p>
        </w:tc>
      </w:tr>
      <w:tr>
        <w:trPr>
          <w:trHeight w:val="660"/>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2</w:t>
            </w:r>
            <w:r>
              <w:rPr>
                <w:highlight w:val="none"/>
              </w:rPr>
            </w:r>
            <w:r/>
          </w:p>
        </w:tc>
        <w:tc>
          <w:tcPr>
            <w:tcW w:w="3558"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提供包括但不限于最近一期（2022年或2023年度）财务审计报告或最近一期财务报表，其他组织、自然人及成立未满一年的法人应提供银行出具的资信证明</w:t>
            </w:r>
            <w:r>
              <w:rPr>
                <w:highlight w:val="none"/>
              </w:rPr>
            </w:r>
            <w:r/>
          </w:p>
        </w:tc>
      </w:tr>
      <w:tr>
        <w:trPr>
          <w:trHeight w:val="660"/>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3</w:t>
            </w:r>
            <w:r>
              <w:rPr>
                <w:highlight w:val="none"/>
              </w:rPr>
            </w:r>
            <w:r/>
          </w:p>
        </w:tc>
        <w:tc>
          <w:tcPr>
            <w:tcW w:w="3558"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提供书面声明</w:t>
            </w:r>
            <w:r>
              <w:rPr>
                <w:highlight w:val="none"/>
              </w:rPr>
            </w:r>
            <w:r/>
          </w:p>
        </w:tc>
      </w:tr>
      <w:tr>
        <w:trPr>
          <w:trHeight w:val="660"/>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4</w:t>
            </w:r>
            <w:r>
              <w:rPr>
                <w:highlight w:val="none"/>
              </w:rPr>
            </w:r>
            <w:r/>
          </w:p>
        </w:tc>
        <w:tc>
          <w:tcPr>
            <w:tcW w:w="3558"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highlight w:val="none"/>
              </w:rPr>
            </w:r>
            <w:r/>
          </w:p>
        </w:tc>
      </w:tr>
      <w:tr>
        <w:trPr>
          <w:trHeight w:val="660"/>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5</w:t>
            </w:r>
            <w:r>
              <w:rPr>
                <w:highlight w:val="none"/>
              </w:rPr>
            </w:r>
            <w:r/>
          </w:p>
        </w:tc>
        <w:tc>
          <w:tcPr>
            <w:tcW w:w="3558"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提供书面声明</w:t>
            </w:r>
            <w:r>
              <w:rPr>
                <w:highlight w:val="none"/>
              </w:rPr>
            </w:r>
            <w:r/>
          </w:p>
        </w:tc>
      </w:tr>
      <w:tr>
        <w:trPr>
          <w:trHeight w:val="660"/>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6</w:t>
            </w:r>
            <w:r>
              <w:rPr>
                <w:highlight w:val="none"/>
              </w:rPr>
            </w:r>
            <w:r/>
          </w:p>
        </w:tc>
        <w:tc>
          <w:tcPr>
            <w:tcW w:w="3558" w:type="dxa"/>
            <w:vAlign w:val="center"/>
            <w:textDirection w:val="lrTb"/>
            <w:noWrap w:val="false"/>
          </w:tcPr>
          <w:p>
            <w:pPr>
              <w:pStyle w:val="879"/>
              <w:jc w:val="left"/>
              <w:rPr>
                <w:rFonts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提供书面声明</w:t>
            </w:r>
            <w:r>
              <w:rPr>
                <w:highlight w:val="none"/>
              </w:rPr>
            </w:r>
            <w:r/>
          </w:p>
        </w:tc>
      </w:tr>
      <w:tr>
        <w:trPr>
          <w:trHeight w:val="694"/>
        </w:trPr>
        <w:tc>
          <w:tcPr>
            <w:tcW w:w="828" w:type="dxa"/>
            <w:vAlign w:val="center"/>
            <w:textDirection w:val="lrTb"/>
            <w:noWrap w:val="false"/>
          </w:tcPr>
          <w:p>
            <w:pPr>
              <w:pStyle w:val="879"/>
              <w:jc w:val="center"/>
              <w:rPr>
                <w:rFonts w:ascii="宋体" w:hAnsi="宋体" w:cs="宋体"/>
                <w:color w:val="000000"/>
                <w:sz w:val="24"/>
                <w:highlight w:val="none"/>
              </w:rPr>
            </w:pPr>
            <w:r>
              <w:rPr>
                <w:rFonts w:hint="eastAsia" w:ascii="宋体" w:hAnsi="宋体" w:cs="宋体"/>
                <w:color w:val="000000"/>
                <w:sz w:val="24"/>
                <w:highlight w:val="none"/>
              </w:rPr>
              <w:t xml:space="preserve">7</w:t>
            </w:r>
            <w:r>
              <w:rPr>
                <w:highlight w:val="none"/>
              </w:rPr>
            </w:r>
            <w:r/>
          </w:p>
        </w:tc>
        <w:tc>
          <w:tcPr>
            <w:tcW w:w="3558" w:type="dxa"/>
            <w:vAlign w:val="center"/>
            <w:textDirection w:val="lrTb"/>
            <w:noWrap w:val="false"/>
          </w:tcPr>
          <w:p>
            <w:pPr>
              <w:pStyle w:val="879"/>
              <w:jc w:val="left"/>
              <w:rPr>
                <w:rFonts w:ascii="宋体" w:hAnsi="宋体" w:cs="宋体"/>
                <w:color w:val="000000"/>
                <w:sz w:val="24"/>
                <w:highlight w:val="none"/>
              </w:rPr>
            </w:pPr>
            <w:r>
              <w:rPr>
                <w:rFonts w:hint="eastAsia" w:ascii="宋体" w:hAnsi="宋体" w:cs="宋体"/>
                <w:color w:val="000000"/>
                <w:sz w:val="24"/>
                <w:highlight w:val="none"/>
              </w:rPr>
              <w:t xml:space="preserve">合格磋商响应单位的特定条件（如有，按磋商公告要求）</w:t>
            </w:r>
            <w:r>
              <w:rPr>
                <w:highlight w:val="none"/>
              </w:rPr>
            </w:r>
            <w:r/>
          </w:p>
        </w:tc>
        <w:tc>
          <w:tcPr>
            <w:tcW w:w="1322" w:type="dxa"/>
            <w:vAlign w:val="center"/>
            <w:textDirection w:val="lrTb"/>
            <w:noWrap w:val="false"/>
          </w:tcPr>
          <w:p>
            <w:pPr>
              <w:pStyle w:val="879"/>
              <w:jc w:val="center"/>
              <w:rPr>
                <w:rFonts w:ascii="宋体" w:hAnsi="宋体" w:cs="宋体"/>
                <w:color w:val="000000"/>
                <w:sz w:val="24"/>
                <w:highlight w:val="none"/>
              </w:rPr>
            </w:pPr>
            <w:r>
              <w:rPr>
                <w:rFonts w:ascii="宋体" w:hAnsi="宋体" w:cs="宋体"/>
                <w:color w:val="000000"/>
                <w:sz w:val="24"/>
                <w:highlight w:val="none"/>
              </w:rPr>
            </w:r>
            <w:r>
              <w:rPr>
                <w:highlight w:val="none"/>
              </w:rPr>
            </w:r>
            <w:r/>
          </w:p>
        </w:tc>
        <w:tc>
          <w:tcPr>
            <w:tcW w:w="3141" w:type="dxa"/>
            <w:vAlign w:val="center"/>
            <w:textDirection w:val="lrTb"/>
            <w:noWrap w:val="false"/>
          </w:tcPr>
          <w:p>
            <w:pPr>
              <w:pStyle w:val="879"/>
              <w:rPr>
                <w:rFonts w:ascii="宋体" w:hAnsi="宋体" w:cs="宋体"/>
                <w:color w:val="000000"/>
                <w:sz w:val="24"/>
                <w:highlight w:val="none"/>
              </w:rPr>
            </w:pPr>
            <w:r>
              <w:rPr>
                <w:rFonts w:hint="eastAsia" w:ascii="宋体" w:hAnsi="宋体" w:cs="宋体"/>
                <w:color w:val="000000"/>
                <w:sz w:val="24"/>
                <w:highlight w:val="none"/>
              </w:rPr>
              <w:t xml:space="preserve">提供相关证明材料</w:t>
            </w:r>
            <w:r>
              <w:rPr>
                <w:highlight w:val="none"/>
              </w:rPr>
            </w:r>
            <w:r/>
          </w:p>
        </w:tc>
      </w:tr>
    </w:tbl>
    <w:p>
      <w:pPr>
        <w:pStyle w:val="879"/>
        <w:spacing w:line="360" w:lineRule="auto"/>
        <w:widowControl/>
        <w:rPr>
          <w:rFonts w:hint="eastAsia" w:ascii="宋体" w:hAnsi="宋体"/>
          <w:b/>
          <w:color w:val="000000"/>
          <w:sz w:val="24"/>
          <w:highlight w:val="none"/>
        </w:rPr>
        <w:outlineLvl w:val="1"/>
      </w:pPr>
      <w:r>
        <w:rPr>
          <w:rFonts w:hint="eastAsia" w:ascii="宋体" w:hAnsi="宋体"/>
          <w:b/>
          <w:color w:val="000000"/>
          <w:sz w:val="24"/>
          <w:highlight w:val="none"/>
        </w:rPr>
      </w:r>
      <w:r>
        <w:rPr>
          <w:highlight w:val="none"/>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单位：（单位盖章）</w:t>
      </w:r>
      <w:r>
        <w:rPr>
          <w:highlight w:val="none"/>
        </w:rPr>
      </w:r>
      <w:r/>
    </w:p>
    <w:p>
      <w:pPr>
        <w:pStyle w:val="879"/>
        <w:spacing w:line="360" w:lineRule="auto"/>
        <w:rPr>
          <w:rFonts w:ascii="宋体" w:hAnsi="宋体"/>
          <w:color w:val="000000"/>
          <w:sz w:val="24"/>
          <w:highlight w:val="none"/>
        </w:rPr>
      </w:pPr>
      <w:r>
        <w:rPr>
          <w:rFonts w:ascii="宋体" w:hAnsi="宋体"/>
          <w:color w:val="000000"/>
          <w:sz w:val="24"/>
          <w:highlight w:val="none"/>
        </w:rPr>
        <w:t xml:space="preserve">法定代表人或代理人：（签字或盖章）</w:t>
      </w:r>
      <w:r>
        <w:rPr>
          <w:highlight w:val="none"/>
        </w:rPr>
      </w:r>
      <w:r/>
    </w:p>
    <w:p>
      <w:pPr>
        <w:pStyle w:val="879"/>
        <w:spacing w:line="380" w:lineRule="exact"/>
        <w:rPr>
          <w:rFonts w:ascii="宋体" w:hAnsi="宋体"/>
          <w:color w:val="000000"/>
          <w:sz w:val="28"/>
          <w:szCs w:val="28"/>
          <w:highlight w:val="none"/>
        </w:rPr>
      </w:pPr>
      <w:r>
        <w:rPr>
          <w:rFonts w:hint="eastAsia" w:ascii="宋体" w:hAnsi="宋体"/>
          <w:color w:val="000000"/>
          <w:sz w:val="24"/>
          <w:highlight w:val="none"/>
        </w:rPr>
        <w:t xml:space="preserve">日期：    年    月    日</w:t>
      </w:r>
      <w:r>
        <w:rPr>
          <w:highlight w:val="none"/>
        </w:rPr>
      </w:r>
      <w:r/>
    </w:p>
    <w:p>
      <w:pPr>
        <w:pStyle w:val="879"/>
        <w:spacing w:line="360" w:lineRule="auto"/>
        <w:widowControl/>
        <w:rPr>
          <w:rFonts w:hint="eastAsia" w:ascii="宋体" w:hAnsi="宋体"/>
          <w:bCs/>
          <w:color w:val="000000"/>
          <w:sz w:val="24"/>
          <w:highlight w:val="none"/>
        </w:rPr>
        <w:outlineLvl w:val="1"/>
      </w:pPr>
      <w:r>
        <w:rPr>
          <w:rFonts w:hint="eastAsia" w:ascii="宋体" w:hAnsi="宋体"/>
          <w:b/>
          <w:color w:val="000000"/>
          <w:sz w:val="24"/>
          <w:highlight w:val="none"/>
        </w:rPr>
        <w:br w:type="page" w:clear="all"/>
      </w:r>
      <w:r>
        <w:rPr>
          <w:rFonts w:hint="eastAsia" w:ascii="宋体" w:hAnsi="宋体"/>
          <w:bCs/>
          <w:color w:val="000000"/>
          <w:sz w:val="24"/>
          <w:highlight w:val="none"/>
        </w:rPr>
        <w:t xml:space="preserve">16、偏离表</w:t>
      </w:r>
      <w:r>
        <w:rPr>
          <w:highlight w:val="none"/>
        </w:rPr>
      </w:r>
      <w:r/>
    </w:p>
    <w:p>
      <w:pPr>
        <w:pStyle w:val="1202"/>
        <w:rPr>
          <w:color w:val="000000"/>
          <w:highlight w:val="none"/>
        </w:rPr>
      </w:pPr>
      <w:r>
        <w:rPr>
          <w:color w:val="000000"/>
          <w:highlight w:val="none"/>
        </w:rPr>
      </w:r>
      <w:r>
        <w:rPr>
          <w:highlight w:val="none"/>
        </w:rPr>
      </w:r>
      <w:r/>
    </w:p>
    <w:p>
      <w:pPr>
        <w:pStyle w:val="879"/>
        <w:jc w:val="center"/>
        <w:spacing w:line="380" w:lineRule="exact"/>
        <w:rPr>
          <w:rFonts w:ascii="宋体" w:hAnsi="宋体"/>
          <w:b/>
          <w:color w:val="000000"/>
          <w:sz w:val="24"/>
          <w:highlight w:val="none"/>
        </w:rPr>
      </w:pPr>
      <w:r>
        <w:rPr>
          <w:rFonts w:ascii="宋体" w:hAnsi="宋体"/>
          <w:b/>
          <w:color w:val="000000"/>
          <w:sz w:val="24"/>
          <w:highlight w:val="none"/>
        </w:rPr>
        <w:t xml:space="preserve">偏离表</w:t>
      </w:r>
      <w:r>
        <w:rPr>
          <w:rFonts w:hint="eastAsia" w:ascii="宋体" w:hAnsi="宋体"/>
          <w:b/>
          <w:color w:val="000000"/>
          <w:sz w:val="24"/>
          <w:highlight w:val="none"/>
        </w:rPr>
        <w:t xml:space="preserve">（技术、商务）</w:t>
      </w:r>
      <w:r>
        <w:rPr>
          <w:highlight w:val="none"/>
        </w:rPr>
      </w:r>
      <w:r/>
    </w:p>
    <w:p>
      <w:pPr>
        <w:pStyle w:val="879"/>
        <w:ind w:left="420" w:firstLine="420"/>
        <w:spacing w:after="120"/>
        <w:rPr>
          <w:color w:val="000000"/>
          <w:highlight w:val="none"/>
        </w:rPr>
      </w:pPr>
      <w:r>
        <w:rPr>
          <w:color w:val="000000"/>
          <w:highlight w:val="none"/>
        </w:rPr>
      </w:r>
      <w:r>
        <w:rPr>
          <w:highlight w:val="none"/>
        </w:rPr>
      </w:r>
      <w:r/>
    </w:p>
    <w:tbl>
      <w:tblPr>
        <w:tblW w:w="8466" w:type="dxa"/>
        <w:tblInd w:w="-324"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采购服务要求</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pStyle w:val="87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响应</w:t>
            </w:r>
            <w:r>
              <w:rPr>
                <w:highlight w:val="none"/>
              </w:rPr>
            </w:r>
            <w:r/>
          </w:p>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（正偏离、负偏离、无偏离）</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偏离说明（如有）</w:t>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pStyle w:val="879"/>
              <w:jc w:val="center"/>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tcPr>
          <w:p>
            <w:pPr>
              <w:pStyle w:val="879"/>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pStyle w:val="879"/>
              <w:ind w:firstLine="799"/>
              <w:jc w:val="center"/>
              <w:spacing w:line="360" w:lineRule="auto"/>
              <w:widowControl/>
              <w:rPr>
                <w:rFonts w:ascii="宋体" w:hAnsi="宋体" w:cs="宋体"/>
                <w:bCs/>
                <w:color w:val="000000"/>
                <w:sz w:val="24"/>
                <w:highlight w:val="none"/>
              </w:rPr>
            </w:pPr>
            <w:r>
              <w:rPr>
                <w:rFonts w:ascii="宋体" w:hAnsi="宋体" w:cs="宋体"/>
                <w:bCs/>
                <w:color w:val="000000"/>
                <w:sz w:val="24"/>
                <w:highlight w:val="none"/>
              </w:rPr>
            </w:r>
            <w:r>
              <w:rPr>
                <w:highlight w:val="none"/>
              </w:rPr>
            </w:r>
            <w:r/>
          </w:p>
        </w:tc>
      </w:tr>
    </w:tbl>
    <w:p>
      <w:pPr>
        <w:pStyle w:val="879"/>
        <w:jc w:val="left"/>
        <w:spacing w:line="360" w:lineRule="auto"/>
        <w:rPr>
          <w:rFonts w:ascii="宋体" w:hAnsi="宋体"/>
          <w:color w:val="000000"/>
          <w:sz w:val="24"/>
          <w:highlight w:val="none"/>
        </w:rPr>
      </w:pPr>
      <w:r>
        <w:rPr>
          <w:rFonts w:ascii="宋体" w:hAnsi="宋体"/>
          <w:color w:val="000000"/>
          <w:sz w:val="24"/>
          <w:highlight w:val="none"/>
        </w:rPr>
        <w:t xml:space="preserve">注：供应商</w:t>
      </w:r>
      <w:r>
        <w:rPr>
          <w:rFonts w:hint="eastAsia" w:ascii="宋体" w:hAnsi="宋体"/>
          <w:color w:val="000000"/>
          <w:sz w:val="24"/>
          <w:highlight w:val="none"/>
        </w:rPr>
        <w:t xml:space="preserve">应在本表中对照磋商采购文件要求逐项对应列出响应内容，并在“偏离说明”项下填写以下内容：优于的，填写“正偏离”；符合的，填写“无偏离”；低于的，填写“负偏离”。</w:t>
      </w:r>
      <w:r>
        <w:rPr>
          <w:highlight w:val="none"/>
        </w:rPr>
      </w:r>
      <w:r/>
    </w:p>
    <w:p>
      <w:pPr>
        <w:pStyle w:val="879"/>
        <w:ind w:firstLine="210"/>
        <w:spacing w:line="360" w:lineRule="auto"/>
        <w:rPr>
          <w:rFonts w:ascii="宋体" w:hAnsi="宋体"/>
          <w:color w:val="000000"/>
          <w:sz w:val="24"/>
          <w:highlight w:val="none"/>
        </w:rPr>
      </w:pPr>
      <w:r>
        <w:rPr>
          <w:rFonts w:ascii="宋体" w:hAnsi="宋体"/>
          <w:color w:val="000000"/>
          <w:sz w:val="24"/>
          <w:highlight w:val="none"/>
        </w:rPr>
      </w:r>
      <w:r>
        <w:rPr>
          <w:highlight w:val="none"/>
        </w:rPr>
      </w:r>
      <w:r/>
    </w:p>
    <w:p>
      <w:pPr>
        <w:pStyle w:val="1202"/>
        <w:rPr>
          <w:color w:val="000000"/>
          <w:highlight w:val="none"/>
        </w:rPr>
      </w:pPr>
      <w:r>
        <w:rPr>
          <w:color w:val="000000"/>
          <w:highlight w:val="none"/>
        </w:rPr>
      </w:r>
      <w:r>
        <w:rPr>
          <w:highlight w:val="none"/>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单位：（单位盖章）</w:t>
      </w:r>
      <w:r>
        <w:rPr>
          <w:highlight w:val="none"/>
        </w:rPr>
      </w:r>
      <w:r/>
    </w:p>
    <w:p>
      <w:pPr>
        <w:pStyle w:val="879"/>
        <w:spacing w:line="360" w:lineRule="auto"/>
        <w:rPr>
          <w:rFonts w:ascii="宋体" w:hAnsi="宋体"/>
          <w:color w:val="000000"/>
          <w:sz w:val="24"/>
          <w:highlight w:val="none"/>
        </w:rPr>
      </w:pPr>
      <w:r>
        <w:rPr>
          <w:rFonts w:ascii="宋体" w:hAnsi="宋体"/>
          <w:color w:val="000000"/>
          <w:sz w:val="24"/>
          <w:highlight w:val="none"/>
        </w:rPr>
        <w:t xml:space="preserve">法定代表人或代理人：（签字或盖章）</w:t>
      </w:r>
      <w:r>
        <w:rPr>
          <w:highlight w:val="none"/>
        </w:rPr>
      </w:r>
      <w:r/>
    </w:p>
    <w:p>
      <w:pPr>
        <w:pStyle w:val="879"/>
        <w:spacing w:line="380" w:lineRule="exact"/>
        <w:rPr>
          <w:rFonts w:ascii="宋体" w:hAnsi="宋体"/>
          <w:color w:val="000000"/>
          <w:sz w:val="28"/>
          <w:szCs w:val="28"/>
          <w:highlight w:val="none"/>
        </w:rPr>
      </w:pPr>
      <w:r>
        <w:rPr>
          <w:rFonts w:hint="eastAsia" w:ascii="宋体" w:hAnsi="宋体"/>
          <w:color w:val="000000"/>
          <w:sz w:val="24"/>
          <w:highlight w:val="none"/>
        </w:rPr>
        <w:t xml:space="preserve">日期：    年    月    日</w:t>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jc w:val="left"/>
        <w:spacing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br w:type="page" w:clear="all"/>
      </w:r>
      <w:r>
        <w:rPr>
          <w:rFonts w:hint="eastAsia" w:ascii="宋体" w:hAnsi="宋体" w:cs="宋体"/>
          <w:color w:val="000000"/>
          <w:sz w:val="24"/>
          <w:highlight w:val="none"/>
          <w:lang w:val="en-US" w:eastAsia="zh-CN"/>
        </w:rPr>
        <w:t xml:space="preserve">17、</w:t>
      </w:r>
      <w:r>
        <w:rPr>
          <w:highlight w:val="none"/>
        </w:rPr>
      </w:r>
      <w:r/>
    </w:p>
    <w:p>
      <w:pPr>
        <w:pStyle w:val="910"/>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36"/>
          <w:szCs w:val="36"/>
          <w:highlight w:val="none"/>
        </w:rPr>
        <w:pBdr>
          <w:top w:val="none" w:color="000000" w:sz="0" w:space="0"/>
          <w:left w:val="none" w:color="000000" w:sz="0" w:space="0"/>
          <w:bottom w:val="none" w:color="000000" w:sz="0" w:space="0"/>
          <w:right w:val="none" w:color="000000" w:sz="0" w:space="0"/>
        </w:pBdr>
        <w:suppressLineNumbers w:val="0"/>
      </w:pPr>
      <w:r>
        <w:rPr>
          <w:rStyle w:val="913"/>
          <w:rFonts w:hint="eastAsia" w:ascii="宋体" w:hAnsi="宋体" w:eastAsia="宋体" w:cs="宋体"/>
          <w:color w:val="333333"/>
          <w:sz w:val="36"/>
          <w:szCs w:val="36"/>
          <w:highlight w:val="none"/>
          <w:shd w:val="clear" w:color="auto" w:fill="ffffff"/>
        </w:rPr>
        <w:t xml:space="preserve">关于符合本国产品标准的声明函</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rPr>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1.</w:t>
      </w:r>
      <w:r>
        <w:rPr>
          <w:rStyle w:val="915"/>
          <w:rFonts w:hint="eastAsia" w:ascii="宋体" w:hAnsi="宋体" w:eastAsia="宋体" w:cs="宋体"/>
          <w:i w:val="0"/>
          <w:iCs w:val="0"/>
          <w:color w:val="333333"/>
          <w:sz w:val="24"/>
          <w:szCs w:val="24"/>
          <w:highlight w:val="none"/>
          <w:shd w:val="clear" w:color="auto" w:fill="ffffff"/>
        </w:rPr>
        <w:t xml:space="preserve">（产品名称1）</w:t>
      </w:r>
      <w:r>
        <w:rPr>
          <w:rStyle w:val="915"/>
          <w:rFonts w:hint="eastAsia" w:ascii="宋体" w:hAnsi="宋体" w:eastAsia="宋体" w:cs="宋体"/>
          <w:i w:val="0"/>
          <w:iCs w:val="0"/>
          <w:color w:val="333333"/>
          <w:sz w:val="24"/>
          <w:szCs w:val="24"/>
          <w:highlight w:val="none"/>
          <w:shd w:val="clear" w:color="auto" w:fill="ffffff"/>
          <w:vertAlign w:val="superscript"/>
        </w:rPr>
        <w:t xml:space="preserve">1</w:t>
      </w:r>
      <w:r>
        <w:rPr>
          <w:rFonts w:hint="eastAsia" w:ascii="宋体" w:hAnsi="宋体" w:eastAsia="宋体" w:cs="宋体"/>
          <w:color w:val="333333"/>
          <w:sz w:val="24"/>
          <w:szCs w:val="24"/>
          <w:highlight w:val="none"/>
          <w:shd w:val="clear" w:color="auto" w:fill="ffffff"/>
        </w:rPr>
        <w:t xml:space="preserve">，生产厂为</w:t>
      </w:r>
      <w:r>
        <w:rPr>
          <w:rStyle w:val="915"/>
          <w:rFonts w:hint="eastAsia" w:ascii="宋体" w:hAnsi="宋体" w:eastAsia="宋体" w:cs="宋体"/>
          <w:i w:val="0"/>
          <w:iCs w:val="0"/>
          <w:color w:val="333333"/>
          <w:sz w:val="24"/>
          <w:szCs w:val="24"/>
          <w:highlight w:val="none"/>
          <w:shd w:val="clear" w:color="auto" w:fill="ffffff"/>
        </w:rPr>
        <w:t xml:space="preserve">（厂名）</w:t>
      </w:r>
      <w:r>
        <w:rPr>
          <w:rStyle w:val="915"/>
          <w:rFonts w:hint="eastAsia" w:ascii="宋体" w:hAnsi="宋体" w:eastAsia="宋体" w:cs="宋体"/>
          <w:i w:val="0"/>
          <w:iCs w:val="0"/>
          <w:color w:val="333333"/>
          <w:sz w:val="24"/>
          <w:szCs w:val="24"/>
          <w:highlight w:val="none"/>
          <w:shd w:val="clear" w:color="auto" w:fill="ffffff"/>
          <w:vertAlign w:val="superscript"/>
        </w:rPr>
        <w:t xml:space="preserve">2</w:t>
      </w:r>
      <w:r>
        <w:rPr>
          <w:rFonts w:hint="eastAsia" w:ascii="宋体" w:hAnsi="宋体" w:eastAsia="宋体" w:cs="宋体"/>
          <w:color w:val="333333"/>
          <w:sz w:val="24"/>
          <w:szCs w:val="24"/>
          <w:highlight w:val="none"/>
          <w:shd w:val="clear" w:color="auto" w:fill="ffffff"/>
        </w:rPr>
        <w:t xml:space="preserve">，厂址为</w:t>
      </w:r>
      <w:r>
        <w:rPr>
          <w:rStyle w:val="915"/>
          <w:rFonts w:hint="eastAsia" w:ascii="宋体" w:hAnsi="宋体" w:eastAsia="宋体" w:cs="宋体"/>
          <w:i w:val="0"/>
          <w:iCs w:val="0"/>
          <w:color w:val="333333"/>
          <w:sz w:val="24"/>
          <w:szCs w:val="24"/>
          <w:highlight w:val="none"/>
          <w:shd w:val="clear" w:color="auto" w:fill="ffffff"/>
        </w:rPr>
        <w:t xml:space="preserve">（生产厂址）</w:t>
      </w:r>
      <w:r>
        <w:rPr>
          <w:rFonts w:hint="eastAsia" w:ascii="宋体" w:hAnsi="宋体" w:eastAsia="宋体" w:cs="宋体"/>
          <w:color w:val="333333"/>
          <w:sz w:val="24"/>
          <w:szCs w:val="24"/>
          <w:highlight w:val="none"/>
          <w:shd w:val="clear" w:color="auto" w:fill="ffffff"/>
        </w:rPr>
        <w:t xml:space="preserve">。</w:t>
      </w:r>
      <w:r>
        <w:rPr>
          <w:rStyle w:val="915"/>
          <w:rFonts w:hint="eastAsia" w:ascii="宋体" w:hAnsi="宋体" w:eastAsia="宋体" w:cs="宋体"/>
          <w:i w:val="0"/>
          <w:iCs w:val="0"/>
          <w:color w:val="333333"/>
          <w:sz w:val="24"/>
          <w:szCs w:val="24"/>
          <w:highlight w:val="none"/>
          <w:shd w:val="clear" w:color="auto" w:fill="ffffff"/>
        </w:rPr>
        <w:t xml:space="preserve">（产品名称1）</w:t>
      </w:r>
      <w:r>
        <w:rPr>
          <w:rFonts w:hint="eastAsia" w:ascii="宋体" w:hAnsi="宋体" w:eastAsia="宋体" w:cs="宋体"/>
          <w:color w:val="333333"/>
          <w:sz w:val="24"/>
          <w:szCs w:val="24"/>
          <w:highlight w:val="none"/>
          <w:shd w:val="clear" w:color="auto" w:fill="ffffff"/>
        </w:rPr>
        <w:t xml:space="preserve">的中国境内生产的组件成本占比≥</w:t>
      </w:r>
      <w:r>
        <w:rPr>
          <w:rStyle w:val="915"/>
          <w:rFonts w:hint="eastAsia" w:ascii="宋体" w:hAnsi="宋体" w:eastAsia="宋体" w:cs="宋体"/>
          <w:i w:val="0"/>
          <w:iCs w:val="0"/>
          <w:color w:val="333333"/>
          <w:sz w:val="24"/>
          <w:szCs w:val="24"/>
          <w:highlight w:val="none"/>
          <w:shd w:val="clear" w:color="auto" w:fill="ffffff"/>
        </w:rPr>
        <w:t xml:space="preserve">（规定比例）</w:t>
      </w:r>
      <w:r>
        <w:rPr>
          <w:rStyle w:val="915"/>
          <w:rFonts w:hint="eastAsia" w:ascii="宋体" w:hAnsi="宋体" w:eastAsia="宋体" w:cs="宋体"/>
          <w:i w:val="0"/>
          <w:iCs w:val="0"/>
          <w:color w:val="333333"/>
          <w:sz w:val="24"/>
          <w:szCs w:val="24"/>
          <w:highlight w:val="none"/>
          <w:shd w:val="clear" w:color="auto" w:fill="ffffff"/>
          <w:vertAlign w:val="superscript"/>
        </w:rPr>
        <w:t xml:space="preserve">3</w:t>
      </w:r>
      <w:r>
        <w:rPr>
          <w:rFonts w:hint="eastAsia" w:ascii="宋体" w:hAnsi="宋体" w:eastAsia="宋体" w:cs="宋体"/>
          <w:color w:val="333333"/>
          <w:sz w:val="24"/>
          <w:szCs w:val="24"/>
          <w:highlight w:val="none"/>
          <w:shd w:val="clear" w:color="auto" w:fill="ffffff"/>
        </w:rPr>
        <w:t xml:space="preserve">。</w:t>
      </w:r>
      <w:r>
        <w:rPr>
          <w:rStyle w:val="915"/>
          <w:rFonts w:hint="eastAsia" w:ascii="宋体" w:hAnsi="宋体" w:eastAsia="宋体" w:cs="宋体"/>
          <w:i w:val="0"/>
          <w:iCs w:val="0"/>
          <w:color w:val="333333"/>
          <w:sz w:val="24"/>
          <w:szCs w:val="24"/>
          <w:highlight w:val="none"/>
          <w:shd w:val="clear" w:color="auto" w:fill="ffffff"/>
        </w:rPr>
        <w:t xml:space="preserve">（产品名称1）</w:t>
      </w:r>
      <w:r>
        <w:rPr>
          <w:rFonts w:hint="eastAsia" w:ascii="宋体" w:hAnsi="宋体" w:eastAsia="宋体" w:cs="宋体"/>
          <w:color w:val="333333"/>
          <w:sz w:val="24"/>
          <w:szCs w:val="24"/>
          <w:highlight w:val="none"/>
          <w:shd w:val="clear" w:color="auto" w:fill="ffffff"/>
        </w:rPr>
        <w:t xml:space="preserve">的</w:t>
      </w:r>
      <w:r>
        <w:rPr>
          <w:rStyle w:val="915"/>
          <w:rFonts w:hint="eastAsia" w:ascii="宋体" w:hAnsi="宋体" w:eastAsia="宋体" w:cs="宋体"/>
          <w:i w:val="0"/>
          <w:iCs w:val="0"/>
          <w:color w:val="333333"/>
          <w:sz w:val="24"/>
          <w:szCs w:val="24"/>
          <w:highlight w:val="none"/>
          <w:shd w:val="clear" w:color="auto" w:fill="ffffff"/>
        </w:rPr>
        <w:t xml:space="preserve">（关键组件）</w:t>
      </w:r>
      <w:r>
        <w:rPr>
          <w:rStyle w:val="915"/>
          <w:rFonts w:hint="eastAsia" w:ascii="宋体" w:hAnsi="宋体" w:eastAsia="宋体" w:cs="宋体"/>
          <w:i w:val="0"/>
          <w:iCs w:val="0"/>
          <w:color w:val="333333"/>
          <w:sz w:val="24"/>
          <w:szCs w:val="24"/>
          <w:highlight w:val="none"/>
          <w:shd w:val="clear" w:color="auto" w:fill="ffffff"/>
          <w:vertAlign w:val="superscript"/>
        </w:rPr>
        <w:t xml:space="preserve">4</w:t>
      </w:r>
      <w:r>
        <w:rPr>
          <w:rFonts w:hint="eastAsia" w:ascii="宋体" w:hAnsi="宋体" w:eastAsia="宋体" w:cs="宋体"/>
          <w:color w:val="333333"/>
          <w:sz w:val="24"/>
          <w:szCs w:val="24"/>
          <w:highlight w:val="none"/>
          <w:shd w:val="clear" w:color="auto" w:fill="ffffff"/>
        </w:rPr>
        <w:t xml:space="preserve">在中国境内生产。</w:t>
      </w:r>
      <w:r>
        <w:rPr>
          <w:rStyle w:val="915"/>
          <w:rFonts w:hint="eastAsia" w:ascii="宋体" w:hAnsi="宋体" w:eastAsia="宋体" w:cs="宋体"/>
          <w:i w:val="0"/>
          <w:iCs w:val="0"/>
          <w:color w:val="333333"/>
          <w:sz w:val="24"/>
          <w:szCs w:val="24"/>
          <w:highlight w:val="none"/>
          <w:shd w:val="clear" w:color="auto" w:fill="ffffff"/>
        </w:rPr>
        <w:t xml:space="preserve">（产品名称1）</w:t>
      </w:r>
      <w:r>
        <w:rPr>
          <w:rFonts w:hint="eastAsia" w:ascii="宋体" w:hAnsi="宋体" w:eastAsia="宋体" w:cs="宋体"/>
          <w:color w:val="333333"/>
          <w:sz w:val="24"/>
          <w:szCs w:val="24"/>
          <w:highlight w:val="none"/>
          <w:shd w:val="clear" w:color="auto" w:fill="ffffff"/>
        </w:rPr>
        <w:t xml:space="preserve">的</w:t>
      </w:r>
      <w:r>
        <w:rPr>
          <w:rStyle w:val="915"/>
          <w:rFonts w:hint="eastAsia" w:ascii="宋体" w:hAnsi="宋体" w:eastAsia="宋体" w:cs="宋体"/>
          <w:i w:val="0"/>
          <w:iCs w:val="0"/>
          <w:color w:val="333333"/>
          <w:sz w:val="24"/>
          <w:szCs w:val="24"/>
          <w:highlight w:val="none"/>
          <w:shd w:val="clear" w:color="auto" w:fill="ffffff"/>
        </w:rPr>
        <w:t xml:space="preserve">（关键工序）</w:t>
      </w:r>
      <w:r>
        <w:rPr>
          <w:rStyle w:val="915"/>
          <w:rFonts w:hint="eastAsia" w:ascii="宋体" w:hAnsi="宋体" w:eastAsia="宋体" w:cs="宋体"/>
          <w:i w:val="0"/>
          <w:iCs w:val="0"/>
          <w:color w:val="333333"/>
          <w:sz w:val="24"/>
          <w:szCs w:val="24"/>
          <w:highlight w:val="none"/>
          <w:shd w:val="clear" w:color="auto" w:fill="ffffff"/>
          <w:vertAlign w:val="superscript"/>
        </w:rPr>
        <w:t xml:space="preserve">5</w:t>
      </w:r>
      <w:r>
        <w:rPr>
          <w:rFonts w:hint="eastAsia" w:ascii="宋体" w:hAnsi="宋体" w:eastAsia="宋体" w:cs="宋体"/>
          <w:color w:val="333333"/>
          <w:sz w:val="24"/>
          <w:szCs w:val="24"/>
          <w:highlight w:val="none"/>
          <w:shd w:val="clear" w:color="auto" w:fill="ffffff"/>
        </w:rPr>
        <w:t xml:space="preserve">在中国境内完成。</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2.</w:t>
      </w:r>
      <w:r>
        <w:rPr>
          <w:rStyle w:val="915"/>
          <w:rFonts w:hint="eastAsia" w:ascii="宋体" w:hAnsi="宋体" w:eastAsia="宋体" w:cs="宋体"/>
          <w:i w:val="0"/>
          <w:iCs w:val="0"/>
          <w:color w:val="333333"/>
          <w:sz w:val="24"/>
          <w:szCs w:val="24"/>
          <w:highlight w:val="none"/>
          <w:shd w:val="clear" w:color="auto" w:fill="ffffff"/>
        </w:rPr>
        <w:t xml:space="preserve">（产品名称2）</w:t>
      </w:r>
      <w:r>
        <w:rPr>
          <w:rFonts w:hint="eastAsia" w:ascii="宋体" w:hAnsi="宋体" w:eastAsia="宋体" w:cs="宋体"/>
          <w:color w:val="333333"/>
          <w:sz w:val="24"/>
          <w:szCs w:val="24"/>
          <w:highlight w:val="none"/>
          <w:shd w:val="clear" w:color="auto" w:fill="ffffff"/>
        </w:rPr>
        <w:t xml:space="preserve">，生产厂为</w:t>
      </w:r>
      <w:r>
        <w:rPr>
          <w:rStyle w:val="915"/>
          <w:rFonts w:hint="eastAsia" w:ascii="宋体" w:hAnsi="宋体" w:eastAsia="宋体" w:cs="宋体"/>
          <w:i w:val="0"/>
          <w:iCs w:val="0"/>
          <w:color w:val="333333"/>
          <w:sz w:val="24"/>
          <w:szCs w:val="24"/>
          <w:highlight w:val="none"/>
          <w:shd w:val="clear" w:color="auto" w:fill="ffffff"/>
        </w:rPr>
        <w:t xml:space="preserve">（厂名）</w:t>
      </w:r>
      <w:r>
        <w:rPr>
          <w:rFonts w:hint="eastAsia" w:ascii="宋体" w:hAnsi="宋体" w:eastAsia="宋体" w:cs="宋体"/>
          <w:color w:val="333333"/>
          <w:sz w:val="24"/>
          <w:szCs w:val="24"/>
          <w:highlight w:val="none"/>
          <w:shd w:val="clear" w:color="auto" w:fill="ffffff"/>
        </w:rPr>
        <w:t xml:space="preserve">，厂址为</w:t>
      </w:r>
      <w:r>
        <w:rPr>
          <w:rStyle w:val="915"/>
          <w:rFonts w:hint="eastAsia" w:ascii="宋体" w:hAnsi="宋体" w:eastAsia="宋体" w:cs="宋体"/>
          <w:i w:val="0"/>
          <w:iCs w:val="0"/>
          <w:color w:val="333333"/>
          <w:sz w:val="24"/>
          <w:szCs w:val="24"/>
          <w:highlight w:val="none"/>
          <w:shd w:val="clear" w:color="auto" w:fill="ffffff"/>
        </w:rPr>
        <w:t xml:space="preserve">（生产厂址）</w:t>
      </w:r>
      <w:r>
        <w:rPr>
          <w:rFonts w:hint="eastAsia" w:ascii="宋体" w:hAnsi="宋体" w:eastAsia="宋体" w:cs="宋体"/>
          <w:color w:val="333333"/>
          <w:sz w:val="24"/>
          <w:szCs w:val="24"/>
          <w:highlight w:val="none"/>
          <w:shd w:val="clear" w:color="auto" w:fill="ffffff"/>
        </w:rPr>
        <w:t xml:space="preserve">。</w:t>
      </w:r>
      <w:r>
        <w:rPr>
          <w:rStyle w:val="915"/>
          <w:rFonts w:hint="eastAsia" w:ascii="宋体" w:hAnsi="宋体" w:eastAsia="宋体" w:cs="宋体"/>
          <w:i w:val="0"/>
          <w:iCs w:val="0"/>
          <w:color w:val="333333"/>
          <w:sz w:val="24"/>
          <w:szCs w:val="24"/>
          <w:highlight w:val="none"/>
          <w:shd w:val="clear" w:color="auto" w:fill="ffffff"/>
        </w:rPr>
        <w:t xml:space="preserve">（产品名称2）</w:t>
      </w:r>
      <w:r>
        <w:rPr>
          <w:rFonts w:hint="eastAsia" w:ascii="宋体" w:hAnsi="宋体" w:eastAsia="宋体" w:cs="宋体"/>
          <w:color w:val="333333"/>
          <w:sz w:val="24"/>
          <w:szCs w:val="24"/>
          <w:highlight w:val="none"/>
          <w:shd w:val="clear" w:color="auto" w:fill="ffffff"/>
        </w:rPr>
        <w:t xml:space="preserve">的中国境内生产的组件成本占比≥</w:t>
      </w:r>
      <w:r>
        <w:rPr>
          <w:rStyle w:val="915"/>
          <w:rFonts w:hint="eastAsia" w:ascii="宋体" w:hAnsi="宋体" w:eastAsia="宋体" w:cs="宋体"/>
          <w:i w:val="0"/>
          <w:iCs w:val="0"/>
          <w:color w:val="333333"/>
          <w:sz w:val="24"/>
          <w:szCs w:val="24"/>
          <w:highlight w:val="none"/>
          <w:shd w:val="clear" w:color="auto" w:fill="ffffff"/>
        </w:rPr>
        <w:t xml:space="preserve">（规定比例）</w:t>
      </w:r>
      <w:r>
        <w:rPr>
          <w:rFonts w:hint="eastAsia" w:ascii="宋体" w:hAnsi="宋体" w:eastAsia="宋体" w:cs="宋体"/>
          <w:color w:val="333333"/>
          <w:sz w:val="24"/>
          <w:szCs w:val="24"/>
          <w:highlight w:val="none"/>
          <w:shd w:val="clear" w:color="auto" w:fill="ffffff"/>
        </w:rPr>
        <w:t xml:space="preserve">。</w:t>
      </w:r>
      <w:r>
        <w:rPr>
          <w:rStyle w:val="915"/>
          <w:rFonts w:hint="eastAsia" w:ascii="宋体" w:hAnsi="宋体" w:eastAsia="宋体" w:cs="宋体"/>
          <w:i w:val="0"/>
          <w:iCs w:val="0"/>
          <w:color w:val="333333"/>
          <w:sz w:val="24"/>
          <w:szCs w:val="24"/>
          <w:highlight w:val="none"/>
          <w:shd w:val="clear" w:color="auto" w:fill="ffffff"/>
        </w:rPr>
        <w:t xml:space="preserve">（产品名称2）</w:t>
      </w:r>
      <w:r>
        <w:rPr>
          <w:rFonts w:hint="eastAsia" w:ascii="宋体" w:hAnsi="宋体" w:eastAsia="宋体" w:cs="宋体"/>
          <w:color w:val="333333"/>
          <w:sz w:val="24"/>
          <w:szCs w:val="24"/>
          <w:highlight w:val="none"/>
          <w:shd w:val="clear" w:color="auto" w:fill="ffffff"/>
        </w:rPr>
        <w:t xml:space="preserve">的</w:t>
      </w:r>
      <w:r>
        <w:rPr>
          <w:rStyle w:val="915"/>
          <w:rFonts w:hint="eastAsia" w:ascii="宋体" w:hAnsi="宋体" w:eastAsia="宋体" w:cs="宋体"/>
          <w:i w:val="0"/>
          <w:iCs w:val="0"/>
          <w:color w:val="333333"/>
          <w:sz w:val="24"/>
          <w:szCs w:val="24"/>
          <w:highlight w:val="none"/>
          <w:shd w:val="clear" w:color="auto" w:fill="ffffff"/>
        </w:rPr>
        <w:t xml:space="preserve">（关键组件）</w:t>
      </w:r>
      <w:r>
        <w:rPr>
          <w:rFonts w:hint="eastAsia" w:ascii="宋体" w:hAnsi="宋体" w:eastAsia="宋体" w:cs="宋体"/>
          <w:color w:val="333333"/>
          <w:sz w:val="24"/>
          <w:szCs w:val="24"/>
          <w:highlight w:val="none"/>
          <w:shd w:val="clear" w:color="auto" w:fill="ffffff"/>
        </w:rPr>
        <w:t xml:space="preserve">在中国境内生产。</w:t>
      </w:r>
      <w:r>
        <w:rPr>
          <w:rStyle w:val="915"/>
          <w:rFonts w:hint="eastAsia" w:ascii="宋体" w:hAnsi="宋体" w:eastAsia="宋体" w:cs="宋体"/>
          <w:i w:val="0"/>
          <w:iCs w:val="0"/>
          <w:color w:val="333333"/>
          <w:sz w:val="24"/>
          <w:szCs w:val="24"/>
          <w:highlight w:val="none"/>
          <w:shd w:val="clear" w:color="auto" w:fill="ffffff"/>
        </w:rPr>
        <w:t xml:space="preserve">（产品名称2）</w:t>
      </w:r>
      <w:r>
        <w:rPr>
          <w:rFonts w:hint="eastAsia" w:ascii="宋体" w:hAnsi="宋体" w:eastAsia="宋体" w:cs="宋体"/>
          <w:color w:val="333333"/>
          <w:sz w:val="24"/>
          <w:szCs w:val="24"/>
          <w:highlight w:val="none"/>
          <w:shd w:val="clear" w:color="auto" w:fill="ffffff"/>
        </w:rPr>
        <w:t xml:space="preserve">的</w:t>
      </w:r>
      <w:r>
        <w:rPr>
          <w:rStyle w:val="915"/>
          <w:rFonts w:hint="eastAsia" w:ascii="宋体" w:hAnsi="宋体" w:eastAsia="宋体" w:cs="宋体"/>
          <w:i w:val="0"/>
          <w:iCs w:val="0"/>
          <w:color w:val="333333"/>
          <w:sz w:val="24"/>
          <w:szCs w:val="24"/>
          <w:highlight w:val="none"/>
          <w:shd w:val="clear" w:color="auto" w:fill="ffffff"/>
        </w:rPr>
        <w:t xml:space="preserve">（关键工序）</w:t>
      </w:r>
      <w:r>
        <w:rPr>
          <w:rFonts w:hint="eastAsia" w:ascii="宋体" w:hAnsi="宋体" w:eastAsia="宋体" w:cs="宋体"/>
          <w:color w:val="333333"/>
          <w:sz w:val="24"/>
          <w:szCs w:val="24"/>
          <w:highlight w:val="none"/>
          <w:shd w:val="clear" w:color="auto" w:fill="ffffff"/>
        </w:rPr>
        <w:t xml:space="preserve">在中国境内完成。</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本公司（单位）对上述声明内容的真实性负责。如有虚假，愿承担相应法律责任。</w:t>
      </w:r>
      <w:r>
        <w:rPr>
          <w:highlight w:val="none"/>
        </w:rPr>
      </w:r>
      <w:r/>
    </w:p>
    <w:p>
      <w:pPr>
        <w:pStyle w:val="910"/>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rPr>
      </w:r>
      <w:r>
        <w:rPr>
          <w:highlight w:val="none"/>
        </w:rPr>
      </w:r>
      <w:r/>
    </w:p>
    <w:p>
      <w:pPr>
        <w:pStyle w:val="910"/>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公司（单位）名称（盖章）：　</w:t>
      </w:r>
      <w:r>
        <w:rPr>
          <w:highlight w:val="none"/>
        </w:rPr>
      </w:r>
      <w:r/>
    </w:p>
    <w:p>
      <w:pPr>
        <w:pStyle w:val="910"/>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日期：　年　月　日</w:t>
      </w:r>
      <w:r>
        <w:rPr>
          <w:highlight w:val="none"/>
        </w:rPr>
      </w:r>
      <w:r/>
    </w:p>
    <w:p>
      <w:pPr>
        <w:pStyle w:val="910"/>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__________________</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1.产品如有型号，请在“产品名称”栏一并填写。</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2.生产厂名与厂址应与生产厂营业执照载明的相关信息保持一致。</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3.该产品的中国境内生产的组件成本占比相关要求实施前，“规定比例”栏可不填，下同。</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4.该产品的关键组件要求实施前，“关键组件”栏可不填，下同。</w:t>
      </w:r>
      <w:r>
        <w:rPr>
          <w:highlight w:val="none"/>
        </w:rPr>
      </w:r>
      <w:r/>
    </w:p>
    <w:p>
      <w:pPr>
        <w:pStyle w:val="910"/>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color w:val="333333"/>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333333"/>
          <w:sz w:val="24"/>
          <w:szCs w:val="24"/>
          <w:highlight w:val="none"/>
          <w:shd w:val="clear" w:color="auto" w:fill="ffffff"/>
        </w:rPr>
        <w:t xml:space="preserve">5.该产品的关键工序要求实施前，“关键工序”栏可不填，下同。</w:t>
      </w:r>
      <w:r>
        <w:rPr>
          <w:highlight w:val="none"/>
        </w:rPr>
      </w:r>
      <w:r/>
    </w:p>
    <w:p>
      <w:pPr>
        <w:pStyle w:val="910"/>
        <w:ind w:left="0" w:right="0"/>
        <w:keepLines w:val="0"/>
        <w:keepNext w:val="0"/>
        <w:spacing w:before="0" w:beforeAutospacing="0" w:after="0" w:afterAutospacing="0" w:line="480" w:lineRule="atLeast"/>
        <w:widowControl/>
        <w:rPr>
          <w:sz w:val="24"/>
          <w:szCs w:val="24"/>
          <w:highlight w:val="none"/>
        </w:rPr>
        <w:pBdr>
          <w:top w:val="none" w:color="000000" w:sz="0" w:space="0"/>
          <w:left w:val="none" w:color="000000" w:sz="0" w:space="0"/>
          <w:bottom w:val="none" w:color="000000" w:sz="0" w:space="0"/>
          <w:right w:val="none" w:color="000000" w:sz="0" w:space="0"/>
        </w:pBdr>
        <w:suppressLineNumbers w:val="0"/>
      </w:pPr>
      <w:r>
        <w:rPr>
          <w:sz w:val="24"/>
          <w:szCs w:val="24"/>
          <w:highlight w:val="none"/>
        </w:rPr>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91"/>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pStyle w:val="879"/>
        <w:rPr>
          <w:rFonts w:hint="eastAsia"/>
          <w:highlight w:val="none"/>
        </w:rPr>
      </w:pPr>
      <w:r>
        <w:rPr>
          <w:rFonts w:hint="eastAsia"/>
          <w:highlight w:val="none"/>
        </w:rPr>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附件：政府采购合同信用融资政策告知函</w:t>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jc w:val="cente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政府采购合同信用融资政策告知函</w:t>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rPr>
          <w:highlight w:val="none"/>
        </w:rPr>
      </w:r>
      <w:r/>
    </w:p>
    <w:p>
      <w:pPr>
        <w:pStyle w:val="879"/>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各政府采购供应商:</w:t>
      </w:r>
      <w:r>
        <w:rPr>
          <w:highlight w:val="none"/>
        </w:rPr>
      </w:r>
      <w:r/>
    </w:p>
    <w:p>
      <w:pPr>
        <w:pStyle w:val="879"/>
        <w:ind w:firstLine="480"/>
        <w:jc w:val="left"/>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欢迎贵公司参加苏州市政府采购活动!</w:t>
      </w:r>
      <w:r>
        <w:rPr>
          <w:highlight w:val="none"/>
        </w:rPr>
      </w:r>
      <w:r/>
    </w:p>
    <w:p>
      <w:pPr>
        <w:pStyle w:val="879"/>
        <w:ind w:firstLine="480"/>
        <w:jc w:val="left"/>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 </w:t>
      </w:r>
      <w:r>
        <w:rPr>
          <w:highlight w:val="none"/>
        </w:rPr>
      </w:r>
      <w:r/>
    </w:p>
    <w:p>
      <w:pPr>
        <w:pStyle w:val="879"/>
        <w:jc w:val="center"/>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（全文完）</w:t>
      </w:r>
      <w:r>
        <w:rPr>
          <w:highlight w:val="none"/>
        </w:rPr>
      </w:r>
      <w:r/>
    </w:p>
    <w:p>
      <w:pPr>
        <w:pStyle w:val="879"/>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 </w:t>
      </w:r>
      <w:r>
        <w:rPr>
          <w:highlight w:val="none"/>
        </w:rPr>
      </w:r>
      <w:r/>
    </w:p>
    <w:p>
      <w:pPr>
        <w:pStyle w:val="879"/>
        <w:spacing w:line="360" w:lineRule="auto"/>
        <w:rPr>
          <w:rFonts w:ascii="宋体" w:hAnsi="宋体"/>
          <w:color w:val="000000"/>
          <w:sz w:val="24"/>
          <w:highlight w:val="none"/>
        </w:rPr>
      </w:pPr>
      <w:r>
        <w:rPr>
          <w:rFonts w:hint="eastAsia" w:ascii="宋体" w:hAnsi="宋体"/>
          <w:color w:val="000000"/>
          <w:sz w:val="24"/>
          <w:highlight w:val="none"/>
        </w:rPr>
        <w:t xml:space="preserve">响应</w:t>
      </w:r>
      <w:r>
        <w:rPr>
          <w:rFonts w:ascii="宋体" w:hAnsi="宋体"/>
          <w:color w:val="000000"/>
          <w:sz w:val="24"/>
          <w:highlight w:val="none"/>
        </w:rPr>
        <w:t xml:space="preserve">单位：（单位盖章）</w:t>
      </w:r>
      <w:r>
        <w:rPr>
          <w:highlight w:val="none"/>
        </w:rPr>
      </w:r>
      <w:r/>
    </w:p>
    <w:p>
      <w:pPr>
        <w:pStyle w:val="879"/>
        <w:spacing w:line="360" w:lineRule="auto"/>
        <w:rPr>
          <w:rFonts w:ascii="宋体" w:hAnsi="宋体"/>
          <w:color w:val="000000"/>
          <w:sz w:val="24"/>
          <w:highlight w:val="none"/>
        </w:rPr>
      </w:pPr>
      <w:r>
        <w:rPr>
          <w:rFonts w:ascii="宋体" w:hAnsi="宋体"/>
          <w:color w:val="000000"/>
          <w:sz w:val="24"/>
          <w:highlight w:val="none"/>
        </w:rPr>
        <w:t xml:space="preserve">法定代表人或代理人：（签字或盖章）</w:t>
      </w:r>
      <w:r>
        <w:rPr>
          <w:highlight w:val="none"/>
        </w:rPr>
      </w:r>
      <w:r/>
    </w:p>
    <w:p>
      <w:pPr>
        <w:pStyle w:val="879"/>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highlight w:val="none"/>
        </w:rPr>
      </w:r>
      <w:r/>
    </w:p>
    <w:sectPr>
      <w:headerReference w:type="default" r:id="rId9"/>
      <w:footerReference w:type="default" r:id="rId13"/>
      <w:footerReference w:type="first" r:id="rId14"/>
      <w:footnotePr/>
      <w:endnotePr/>
      <w:type w:val="nextPage"/>
      <w:pgSz w:w="11906" w:h="16838" w:orient="portrait"/>
      <w:pgMar w:top="1440" w:right="1797"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黑体">
    <w:panose1 w:val="02010609060101010101"/>
  </w:font>
  <w:font w:name="Verdana,ˎ̥">
    <w:panose1 w:val="020B0604030504040204"/>
  </w:font>
  <w:font w:name="MS Gothic">
    <w:panose1 w:val="020B0609070205080204"/>
  </w:font>
  <w:font w:name="Symbol">
    <w:panose1 w:val="05050102010706020507"/>
  </w:font>
  <w:font w:name="Wingdings">
    <w:panose1 w:val="05000000000000000000"/>
  </w:font>
  <w:font w:name="方正仿宋简体">
    <w:panose1 w:val="020B0503020202020204"/>
  </w:font>
  <w:font w:name="Tahoma">
    <w:panose1 w:val="020B0604030504040204"/>
  </w:font>
  <w:font w:name="仿宋_GB2312">
    <w:panose1 w:val="02010609060101010101"/>
  </w:font>
  <w:font w:name="Verdana">
    <w:panose1 w:val="020B0604030504040204"/>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7143" w:leader="none"/>
        <w:tab w:val="right"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0"/>
                            <w:tabs>
                              <w:tab w:val="clear" w:pos="7143" w:leader="none"/>
                              <w:tab w:val="clear" w:pos="14287" w:leader="none"/>
                            </w:tabs>
                          </w:pPr>
                          <w:r>
                            <w:t xml:space="preserve">第 </w:t>
                          </w:r>
                          <w:r>
                            <w:fldChar w:fldCharType="begin"/>
                          </w:r>
                          <w:r>
                            <w:instrText xml:space="preserve"> PAGE  \* MERGEFORMAT </w:instrText>
                          </w:r>
                          <w:r>
                            <w:fldChar w:fldCharType="separate"/>
                          </w:r>
                          <w:r>
                            <w:t xml:space="preserve">157</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p>
                          <w:pPr>
                            <w:pStyle w:val="87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0"/>
                      <w:tabs>
                        <w:tab w:val="clear" w:pos="7143" w:leader="none"/>
                        <w:tab w:val="clear" w:pos="14287" w:leader="none"/>
                      </w:tabs>
                    </w:pPr>
                    <w:r>
                      <w:t xml:space="preserve">第 </w:t>
                    </w:r>
                    <w:r>
                      <w:fldChar w:fldCharType="begin"/>
                    </w:r>
                    <w:r>
                      <w:instrText xml:space="preserve"> PAGE  \* MERGEFORMAT </w:instrText>
                    </w:r>
                    <w:r>
                      <w:fldChar w:fldCharType="separate"/>
                    </w:r>
                    <w:r>
                      <w:t xml:space="preserve">157</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p>
                    <w:pPr>
                      <w:pStyle w:val="87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tabs>
        <w:tab w:val="center" w:pos="7143" w:leader="none"/>
        <w:tab w:val="right"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0"/>
                            <w:tabs>
                              <w:tab w:val="clear" w:pos="7143" w:leader="none"/>
                              <w:tab w:val="clear" w:pos="14287" w:leader="none"/>
                            </w:tabs>
                          </w:pPr>
                          <w:r>
                            <w:t xml:space="preserve">第 </w:t>
                          </w:r>
                          <w:r>
                            <w:fldChar w:fldCharType="begin"/>
                          </w:r>
                          <w:r>
                            <w:instrText xml:space="preserve"> PAGE  \* MERGEFORMAT </w:instrText>
                          </w:r>
                          <w:r>
                            <w:fldChar w:fldCharType="separate"/>
                          </w:r>
                          <w:r>
                            <w:t xml:space="preserve">156</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p>
                          <w:pPr>
                            <w:pStyle w:val="879"/>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0"/>
                      <w:tabs>
                        <w:tab w:val="clear" w:pos="7143" w:leader="none"/>
                        <w:tab w:val="clear" w:pos="14287" w:leader="none"/>
                      </w:tabs>
                    </w:pPr>
                    <w:r>
                      <w:t xml:space="preserve">第 </w:t>
                    </w:r>
                    <w:r>
                      <w:fldChar w:fldCharType="begin"/>
                    </w:r>
                    <w:r>
                      <w:instrText xml:space="preserve"> PAGE  \* MERGEFORMAT </w:instrText>
                    </w:r>
                    <w:r>
                      <w:fldChar w:fldCharType="separate"/>
                    </w:r>
                    <w:r>
                      <w:t xml:space="preserve">156</w:t>
                    </w:r>
                    <w:r>
                      <w:fldChar w:fldCharType="end"/>
                    </w:r>
                    <w:r>
                      <w:t xml:space="preserve"> 页 共 </w:t>
                    </w:r>
                    <w:r>
                      <w:fldChar w:fldCharType="begin"/>
                    </w:r>
                    <w:r>
                      <w:instrText xml:space="preserve"> NUMPAGES  \* MERGEFORMAT </w:instrText>
                    </w:r>
                    <w:r>
                      <w:fldChar w:fldCharType="separate"/>
                    </w:r>
                    <w:r>
                      <w:t xml:space="preserve">159</w:t>
                    </w:r>
                    <w:r>
                      <w:fldChar w:fldCharType="end"/>
                    </w:r>
                    <w:r>
                      <w:t xml:space="preserve"> 页</w:t>
                    </w:r>
                    <w:r/>
                  </w:p>
                  <w:p>
                    <w:pPr>
                      <w:pStyle w:val="87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left="6622"/>
      <w:spacing w:before="1" w:line="226" w:lineRule="auto"/>
      <w:rPr>
        <w:rFonts w:ascii="Microsoft JhengHei" w:hAnsi="Microsoft JhengHei" w:eastAsia="Microsoft JhengHei" w:cs="Microsoft JhengHei"/>
        <w:sz w:val="18"/>
        <w:szCs w:val="18"/>
      </w:rPr>
    </w:pPr>
    <w:r>
      <w:rPr>
        <w:rFonts w:ascii="Microsoft JhengHei" w:hAnsi="Microsoft JhengHei" w:eastAsia="Microsoft JhengHei" w:cs="Microsoft JhengHei"/>
        <w:b/>
        <w:bCs/>
        <w:spacing w:val="-3"/>
        <w:sz w:val="18"/>
        <w:szCs w:val="18"/>
      </w:rPr>
      <w:t xml:space="preserve">14</w:t>
    </w:r>
    <w:r>
      <w:rPr>
        <w:rFonts w:ascii="Microsoft JhengHei" w:hAnsi="Microsoft JhengHei" w:eastAsia="Microsoft JhengHei" w:cs="Microsoft JhengHe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pPr>
                            <w:pStyle w:val="87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pPr>
                      <w:pStyle w:val="879"/>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pPr>
                            <w:pStyle w:val="879"/>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pPr>
                      <w:pStyle w:val="879"/>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right"/>
      <w:tabs>
        <w:tab w:val="center" w:pos="4153" w:leader="none"/>
        <w:tab w:val="right" w:pos="8306" w:leader="none"/>
      </w:tabs>
    </w:pPr>
    <w:r>
      <w:rPr>
        <w:rFonts w:hint="eastAsia"/>
      </w:rPr>
      <w:t xml:space="preserve">江苏至衡诚达工程咨询有限公司采购文件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879"/>
        <w:ind w:left="420" w:hanging="420"/>
      </w:pPr>
    </w:lvl>
    <w:lvl w:ilvl="1">
      <w:start w:val="1"/>
      <w:numFmt w:val="decimal"/>
      <w:isLgl w:val="false"/>
      <w:suff w:val="tab"/>
      <w:lvlText w:val="%2、"/>
      <w:lvlJc w:val="left"/>
      <w:pPr>
        <w:pStyle w:val="879"/>
        <w:ind w:left="780" w:hanging="36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1">
    <w:multiLevelType w:val="hybridMultilevel"/>
    <w:lvl w:ilvl="0">
      <w:start w:val="1"/>
      <w:numFmt w:val="decimal"/>
      <w:isLgl w:val="false"/>
      <w:suff w:val="space"/>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879"/>
    <w:next w:val="879"/>
    <w:link w:val="921"/>
    <w:uiPriority w:val="9"/>
    <w:qFormat/>
    <w:pPr>
      <w:keepLines/>
      <w:keepNext/>
      <w:spacing w:before="480" w:after="200"/>
      <w:outlineLvl w:val="0"/>
    </w:pPr>
    <w:rPr>
      <w:rFonts w:ascii="Arial" w:hAnsi="Arial" w:eastAsia="Arial" w:cs="Arial"/>
      <w:sz w:val="40"/>
      <w:szCs w:val="40"/>
    </w:rPr>
  </w:style>
  <w:style w:type="paragraph" w:styleId="850">
    <w:name w:val="Heading 2"/>
    <w:basedOn w:val="879"/>
    <w:next w:val="879"/>
    <w:link w:val="923"/>
    <w:uiPriority w:val="9"/>
    <w:unhideWhenUsed/>
    <w:qFormat/>
    <w:pPr>
      <w:keepLines/>
      <w:keepNext/>
      <w:spacing w:before="360" w:after="200"/>
      <w:outlineLvl w:val="1"/>
    </w:pPr>
    <w:rPr>
      <w:rFonts w:ascii="Arial" w:hAnsi="Arial" w:eastAsia="Arial" w:cs="Arial"/>
      <w:sz w:val="34"/>
    </w:rPr>
  </w:style>
  <w:style w:type="paragraph" w:styleId="851">
    <w:name w:val="Heading 3"/>
    <w:basedOn w:val="879"/>
    <w:next w:val="879"/>
    <w:link w:val="925"/>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79"/>
    <w:next w:val="879"/>
    <w:link w:val="927"/>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79"/>
    <w:next w:val="879"/>
    <w:link w:val="929"/>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79"/>
    <w:next w:val="879"/>
    <w:link w:val="931"/>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79"/>
    <w:next w:val="879"/>
    <w:link w:val="933"/>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79"/>
    <w:next w:val="879"/>
    <w:link w:val="935"/>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79"/>
    <w:next w:val="879"/>
    <w:link w:val="937"/>
    <w:uiPriority w:val="9"/>
    <w:unhideWhenUsed/>
    <w:qFormat/>
    <w:pPr>
      <w:keepLines/>
      <w:keepNext/>
      <w:spacing w:before="320" w:after="200"/>
      <w:outlineLvl w:val="8"/>
    </w:pPr>
    <w:rPr>
      <w:rFonts w:ascii="Arial" w:hAnsi="Arial" w:eastAsia="Arial" w:cs="Arial"/>
      <w:i/>
      <w:iCs/>
      <w:sz w:val="21"/>
      <w:szCs w:val="21"/>
    </w:rPr>
  </w:style>
  <w:style w:type="paragraph" w:styleId="858">
    <w:name w:val="Title"/>
    <w:basedOn w:val="879"/>
    <w:next w:val="879"/>
    <w:link w:val="962"/>
    <w:uiPriority w:val="10"/>
    <w:qFormat/>
    <w:pPr>
      <w:contextualSpacing/>
      <w:spacing w:before="300" w:after="200"/>
    </w:pPr>
    <w:rPr>
      <w:sz w:val="48"/>
      <w:szCs w:val="48"/>
    </w:rPr>
  </w:style>
  <w:style w:type="paragraph" w:styleId="859">
    <w:name w:val="Subtitle"/>
    <w:basedOn w:val="879"/>
    <w:next w:val="879"/>
    <w:link w:val="954"/>
    <w:uiPriority w:val="11"/>
    <w:qFormat/>
    <w:pPr>
      <w:spacing w:before="200" w:after="200"/>
    </w:pPr>
    <w:rPr>
      <w:sz w:val="24"/>
      <w:szCs w:val="24"/>
    </w:rPr>
  </w:style>
  <w:style w:type="paragraph" w:styleId="860">
    <w:name w:val="Header"/>
    <w:basedOn w:val="879"/>
    <w:link w:val="950"/>
    <w:uiPriority w:val="99"/>
    <w:unhideWhenUsed/>
    <w:pPr>
      <w:spacing w:after="0" w:line="240" w:lineRule="auto"/>
      <w:tabs>
        <w:tab w:val="center" w:pos="7143" w:leader="none"/>
        <w:tab w:val="right" w:pos="14287" w:leader="none"/>
      </w:tabs>
    </w:pPr>
  </w:style>
  <w:style w:type="paragraph" w:styleId="861">
    <w:name w:val="Footer"/>
    <w:basedOn w:val="879"/>
    <w:link w:val="1011"/>
    <w:uiPriority w:val="99"/>
    <w:unhideWhenUsed/>
    <w:pPr>
      <w:spacing w:after="0" w:line="240" w:lineRule="auto"/>
      <w:tabs>
        <w:tab w:val="center" w:pos="7143" w:leader="none"/>
        <w:tab w:val="right" w:pos="14287" w:leader="none"/>
      </w:tabs>
    </w:pPr>
  </w:style>
  <w:style w:type="paragraph" w:styleId="862">
    <w:name w:val="Caption"/>
    <w:basedOn w:val="879"/>
    <w:next w:val="879"/>
    <w:uiPriority w:val="35"/>
    <w:semiHidden/>
    <w:unhideWhenUsed/>
    <w:qFormat/>
    <w:pPr>
      <w:spacing w:line="276" w:lineRule="auto"/>
    </w:pPr>
    <w:rPr>
      <w:b/>
      <w:bCs/>
      <w:color w:val="4f81bd" w:themeColor="accent1"/>
      <w:sz w:val="18"/>
      <w:szCs w:val="18"/>
    </w:rPr>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Hyperlink"/>
    <w:uiPriority w:val="99"/>
    <w:unhideWhenUsed/>
    <w:rPr>
      <w:color w:val="0000ff" w:themeColor="hyperlink"/>
      <w:u w:val="single"/>
    </w:rPr>
  </w:style>
  <w:style w:type="paragraph" w:styleId="865">
    <w:name w:val="footnote text"/>
    <w:basedOn w:val="879"/>
    <w:link w:val="956"/>
    <w:uiPriority w:val="99"/>
    <w:semiHidden/>
    <w:unhideWhenUsed/>
    <w:pPr>
      <w:spacing w:after="40" w:line="240" w:lineRule="auto"/>
    </w:pPr>
    <w:rPr>
      <w:sz w:val="18"/>
    </w:rPr>
  </w:style>
  <w:style w:type="character" w:styleId="866">
    <w:name w:val="footnote reference"/>
    <w:uiPriority w:val="99"/>
    <w:unhideWhenUsed/>
    <w:rPr>
      <w:vertAlign w:val="superscript"/>
    </w:rPr>
  </w:style>
  <w:style w:type="paragraph" w:styleId="867">
    <w:name w:val="endnote text"/>
    <w:basedOn w:val="879"/>
    <w:link w:val="946"/>
    <w:uiPriority w:val="99"/>
    <w:semiHidden/>
    <w:unhideWhenUsed/>
    <w:pPr>
      <w:spacing w:after="0" w:line="240" w:lineRule="auto"/>
    </w:pPr>
    <w:rPr>
      <w:sz w:val="20"/>
    </w:rPr>
  </w:style>
  <w:style w:type="character" w:styleId="868">
    <w:name w:val="endnote reference"/>
    <w:uiPriority w:val="99"/>
    <w:semiHidden/>
    <w:unhideWhenUsed/>
    <w:rPr>
      <w:vertAlign w:val="superscript"/>
    </w:rPr>
  </w:style>
  <w:style w:type="paragraph" w:styleId="869">
    <w:name w:val="toc 1"/>
    <w:basedOn w:val="879"/>
    <w:next w:val="879"/>
    <w:uiPriority w:val="39"/>
    <w:unhideWhenUsed/>
    <w:pPr>
      <w:ind w:left="0" w:right="0" w:firstLine="0"/>
      <w:spacing w:after="57"/>
    </w:pPr>
  </w:style>
  <w:style w:type="paragraph" w:styleId="870">
    <w:name w:val="toc 2"/>
    <w:basedOn w:val="879"/>
    <w:next w:val="879"/>
    <w:uiPriority w:val="39"/>
    <w:unhideWhenUsed/>
    <w:pPr>
      <w:ind w:left="283" w:right="0" w:firstLine="0"/>
      <w:spacing w:after="57"/>
    </w:p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9"/>
    <w:basedOn w:val="879"/>
    <w:next w:val="879"/>
    <w:uiPriority w:val="39"/>
    <w:unhideWhenUsed/>
    <w:pPr>
      <w:ind w:left="2268" w:right="0" w:firstLine="0"/>
      <w:spacing w:after="57"/>
    </w:pPr>
  </w:style>
  <w:style w:type="paragraph" w:styleId="878">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rFonts w:ascii="Times New Roman" w:hAnsi="Times New Roman" w:eastAsia="宋体" w:cs="Times New Roman"/>
      <w:sz w:val="21"/>
      <w:szCs w:val="24"/>
      <w:lang w:val="en-US" w:eastAsia="zh-CN" w:bidi="ar-SA"/>
    </w:rPr>
  </w:style>
  <w:style w:type="paragraph" w:styleId="880">
    <w:name w:val="标题 1"/>
    <w:basedOn w:val="879"/>
    <w:next w:val="879"/>
    <w:link w:val="879"/>
    <w:uiPriority w:val="9"/>
    <w:qFormat/>
    <w:pPr>
      <w:keepLines/>
      <w:keepNext/>
      <w:spacing w:before="480" w:after="200"/>
      <w:outlineLvl w:val="0"/>
    </w:pPr>
    <w:rPr>
      <w:rFonts w:ascii="Arial" w:hAnsi="Arial" w:eastAsia="Arial" w:cs="Arial"/>
      <w:sz w:val="40"/>
      <w:szCs w:val="40"/>
    </w:rPr>
  </w:style>
  <w:style w:type="paragraph" w:styleId="881">
    <w:name w:val="标题 2"/>
    <w:basedOn w:val="879"/>
    <w:next w:val="879"/>
    <w:link w:val="879"/>
    <w:uiPriority w:val="9"/>
    <w:unhideWhenUsed/>
    <w:qFormat/>
    <w:pPr>
      <w:keepLines/>
      <w:keepNext/>
      <w:spacing w:before="360" w:after="200"/>
      <w:outlineLvl w:val="1"/>
    </w:pPr>
    <w:rPr>
      <w:rFonts w:ascii="Arial" w:hAnsi="Arial" w:eastAsia="Arial" w:cs="Arial"/>
      <w:sz w:val="34"/>
    </w:rPr>
  </w:style>
  <w:style w:type="paragraph" w:styleId="882">
    <w:name w:val="标题 3"/>
    <w:basedOn w:val="879"/>
    <w:next w:val="879"/>
    <w:link w:val="879"/>
    <w:uiPriority w:val="9"/>
    <w:unhideWhenUsed/>
    <w:qFormat/>
    <w:pPr>
      <w:keepLines/>
      <w:keepNext/>
      <w:spacing w:before="320" w:after="200"/>
      <w:outlineLvl w:val="2"/>
    </w:pPr>
    <w:rPr>
      <w:rFonts w:ascii="Arial" w:hAnsi="Arial" w:eastAsia="Arial" w:cs="Arial"/>
      <w:sz w:val="30"/>
      <w:szCs w:val="30"/>
    </w:rPr>
  </w:style>
  <w:style w:type="paragraph" w:styleId="883">
    <w:name w:val="标题 4"/>
    <w:basedOn w:val="879"/>
    <w:next w:val="879"/>
    <w:link w:val="879"/>
    <w:uiPriority w:val="9"/>
    <w:unhideWhenUsed/>
    <w:qFormat/>
    <w:pPr>
      <w:keepLines/>
      <w:keepNext/>
      <w:spacing w:before="320" w:after="200"/>
      <w:outlineLvl w:val="3"/>
    </w:pPr>
    <w:rPr>
      <w:rFonts w:ascii="Arial" w:hAnsi="Arial" w:eastAsia="Arial" w:cs="Arial"/>
      <w:b/>
      <w:bCs/>
      <w:sz w:val="26"/>
      <w:szCs w:val="26"/>
    </w:rPr>
  </w:style>
  <w:style w:type="paragraph" w:styleId="884">
    <w:name w:val="标题 5"/>
    <w:basedOn w:val="879"/>
    <w:next w:val="879"/>
    <w:link w:val="879"/>
    <w:uiPriority w:val="9"/>
    <w:unhideWhenUsed/>
    <w:qFormat/>
    <w:pPr>
      <w:keepLines/>
      <w:keepNext/>
      <w:spacing w:before="320" w:after="200"/>
      <w:outlineLvl w:val="4"/>
    </w:pPr>
    <w:rPr>
      <w:rFonts w:ascii="Arial" w:hAnsi="Arial" w:eastAsia="Arial" w:cs="Arial"/>
      <w:b/>
      <w:bCs/>
      <w:sz w:val="24"/>
      <w:szCs w:val="24"/>
    </w:rPr>
  </w:style>
  <w:style w:type="paragraph" w:styleId="885">
    <w:name w:val="标题 6"/>
    <w:basedOn w:val="879"/>
    <w:next w:val="879"/>
    <w:link w:val="879"/>
    <w:uiPriority w:val="9"/>
    <w:unhideWhenUsed/>
    <w:qFormat/>
    <w:pPr>
      <w:keepLines/>
      <w:keepNext/>
      <w:spacing w:before="320" w:after="200"/>
      <w:outlineLvl w:val="5"/>
    </w:pPr>
    <w:rPr>
      <w:rFonts w:ascii="Arial" w:hAnsi="Arial" w:eastAsia="Arial" w:cs="Arial"/>
      <w:b/>
      <w:bCs/>
      <w:sz w:val="22"/>
      <w:szCs w:val="22"/>
    </w:rPr>
  </w:style>
  <w:style w:type="paragraph" w:styleId="886">
    <w:name w:val="标题 7"/>
    <w:basedOn w:val="879"/>
    <w:next w:val="879"/>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87">
    <w:name w:val="标题 8"/>
    <w:basedOn w:val="879"/>
    <w:next w:val="879"/>
    <w:link w:val="879"/>
    <w:uiPriority w:val="9"/>
    <w:unhideWhenUsed/>
    <w:qFormat/>
    <w:pPr>
      <w:keepLines/>
      <w:keepNext/>
      <w:spacing w:before="320" w:after="200"/>
      <w:outlineLvl w:val="7"/>
    </w:pPr>
    <w:rPr>
      <w:rFonts w:ascii="Arial" w:hAnsi="Arial" w:eastAsia="Arial" w:cs="Arial"/>
      <w:i/>
      <w:iCs/>
      <w:sz w:val="22"/>
      <w:szCs w:val="22"/>
    </w:rPr>
  </w:style>
  <w:style w:type="paragraph" w:styleId="888">
    <w:name w:val="标题 9"/>
    <w:basedOn w:val="879"/>
    <w:next w:val="879"/>
    <w:link w:val="879"/>
    <w:uiPriority w:val="9"/>
    <w:unhideWhenUsed/>
    <w:qFormat/>
    <w:pPr>
      <w:keepLines/>
      <w:keepNext/>
      <w:spacing w:before="320" w:after="200"/>
      <w:outlineLvl w:val="8"/>
    </w:pPr>
    <w:rPr>
      <w:rFonts w:ascii="Arial" w:hAnsi="Arial" w:eastAsia="Arial" w:cs="Arial"/>
      <w:i/>
      <w:iCs/>
      <w:sz w:val="21"/>
      <w:szCs w:val="21"/>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paragraph" w:styleId="891">
    <w:name w:val="正文1"/>
    <w:basedOn w:val="879"/>
    <w:next w:val="879"/>
    <w:link w:val="879"/>
    <w:qFormat/>
    <w:pPr>
      <w:ind w:left="420" w:firstLine="527"/>
      <w:spacing w:before="120" w:line="360" w:lineRule="auto"/>
    </w:pPr>
    <w:rPr>
      <w:rFonts w:ascii="宋体" w:hAnsi="宋体"/>
    </w:rPr>
  </w:style>
  <w:style w:type="paragraph" w:styleId="892">
    <w:name w:val="目录 7"/>
    <w:basedOn w:val="879"/>
    <w:next w:val="879"/>
    <w:link w:val="879"/>
    <w:uiPriority w:val="39"/>
    <w:unhideWhenUsed/>
    <w:pPr>
      <w:ind w:left="1701" w:right="0" w:firstLine="0"/>
      <w:spacing w:after="57"/>
    </w:pPr>
  </w:style>
  <w:style w:type="paragraph" w:styleId="893">
    <w:name w:val="正文缩进"/>
    <w:basedOn w:val="879"/>
    <w:next w:val="879"/>
    <w:link w:val="879"/>
    <w:qFormat/>
    <w:pPr>
      <w:ind w:left="420" w:firstLine="4772"/>
    </w:pPr>
  </w:style>
  <w:style w:type="paragraph" w:styleId="894">
    <w:name w:val="题注"/>
    <w:basedOn w:val="879"/>
    <w:next w:val="879"/>
    <w:link w:val="879"/>
    <w:uiPriority w:val="35"/>
    <w:unhideWhenUsed/>
    <w:qFormat/>
    <w:pPr>
      <w:spacing w:line="276" w:lineRule="auto"/>
    </w:pPr>
    <w:rPr>
      <w:b/>
      <w:bCs/>
      <w:color w:val="4f81bd"/>
      <w:sz w:val="18"/>
      <w:szCs w:val="18"/>
    </w:rPr>
  </w:style>
  <w:style w:type="paragraph" w:styleId="895">
    <w:name w:val="正文文本"/>
    <w:basedOn w:val="879"/>
    <w:next w:val="893"/>
    <w:link w:val="879"/>
    <w:qFormat/>
    <w:pPr>
      <w:ind w:left="0" w:firstLine="2560"/>
    </w:pPr>
    <w:rPr>
      <w:rFonts w:ascii="Times New Roman" w:hAnsi="Times New Roman" w:cs="Times New Roman"/>
    </w:rPr>
  </w:style>
  <w:style w:type="paragraph" w:styleId="896">
    <w:name w:val="目录 5"/>
    <w:basedOn w:val="879"/>
    <w:next w:val="879"/>
    <w:link w:val="879"/>
    <w:uiPriority w:val="39"/>
    <w:unhideWhenUsed/>
    <w:pPr>
      <w:ind w:left="1134" w:right="0" w:firstLine="0"/>
      <w:spacing w:after="57"/>
    </w:pPr>
  </w:style>
  <w:style w:type="paragraph" w:styleId="897">
    <w:name w:val="目录 3"/>
    <w:basedOn w:val="879"/>
    <w:next w:val="879"/>
    <w:link w:val="879"/>
    <w:uiPriority w:val="39"/>
    <w:unhideWhenUsed/>
    <w:pPr>
      <w:ind w:left="567" w:right="0" w:firstLine="0"/>
      <w:spacing w:after="57"/>
    </w:pPr>
  </w:style>
  <w:style w:type="paragraph" w:styleId="898">
    <w:name w:val="目录 8"/>
    <w:basedOn w:val="879"/>
    <w:next w:val="879"/>
    <w:link w:val="879"/>
    <w:uiPriority w:val="39"/>
    <w:unhideWhenUsed/>
    <w:pPr>
      <w:ind w:left="1984" w:right="0" w:firstLine="0"/>
      <w:spacing w:after="57"/>
    </w:pPr>
  </w:style>
  <w:style w:type="paragraph" w:styleId="899">
    <w:name w:val="尾注文本"/>
    <w:basedOn w:val="879"/>
    <w:next w:val="899"/>
    <w:link w:val="879"/>
    <w:uiPriority w:val="99"/>
    <w:unhideWhenUsed/>
    <w:pPr>
      <w:spacing w:after="0" w:line="240" w:lineRule="auto"/>
    </w:pPr>
    <w:rPr>
      <w:sz w:val="20"/>
    </w:rPr>
  </w:style>
  <w:style w:type="paragraph" w:styleId="900">
    <w:name w:val="页脚"/>
    <w:basedOn w:val="879"/>
    <w:next w:val="900"/>
    <w:link w:val="879"/>
    <w:uiPriority w:val="99"/>
    <w:unhideWhenUsed/>
    <w:pPr>
      <w:spacing w:after="0" w:line="240" w:lineRule="auto"/>
      <w:tabs>
        <w:tab w:val="center" w:pos="7143" w:leader="none"/>
        <w:tab w:val="right" w:pos="14287" w:leader="none"/>
      </w:tabs>
    </w:pPr>
  </w:style>
  <w:style w:type="paragraph" w:styleId="901">
    <w:name w:val="页眉"/>
    <w:basedOn w:val="879"/>
    <w:next w:val="901"/>
    <w:link w:val="879"/>
    <w:uiPriority w:val="99"/>
    <w:unhideWhenUsed/>
    <w:pPr>
      <w:spacing w:after="0" w:line="240" w:lineRule="auto"/>
      <w:tabs>
        <w:tab w:val="center" w:pos="7143" w:leader="none"/>
        <w:tab w:val="right" w:pos="14287" w:leader="none"/>
      </w:tabs>
    </w:pPr>
  </w:style>
  <w:style w:type="paragraph" w:styleId="902">
    <w:name w:val="目录 1"/>
    <w:basedOn w:val="879"/>
    <w:next w:val="879"/>
    <w:link w:val="879"/>
    <w:uiPriority w:val="39"/>
    <w:unhideWhenUsed/>
    <w:pPr>
      <w:ind w:left="0" w:right="0" w:firstLine="0"/>
      <w:spacing w:after="57"/>
    </w:pPr>
  </w:style>
  <w:style w:type="paragraph" w:styleId="903">
    <w:name w:val="目录 4"/>
    <w:basedOn w:val="879"/>
    <w:next w:val="879"/>
    <w:link w:val="879"/>
    <w:uiPriority w:val="39"/>
    <w:unhideWhenUsed/>
    <w:pPr>
      <w:ind w:left="850" w:right="0" w:firstLine="0"/>
      <w:spacing w:after="57"/>
    </w:pPr>
  </w:style>
  <w:style w:type="paragraph" w:styleId="904">
    <w:name w:val="副标题"/>
    <w:basedOn w:val="879"/>
    <w:next w:val="879"/>
    <w:link w:val="879"/>
    <w:uiPriority w:val="11"/>
    <w:qFormat/>
    <w:pPr>
      <w:spacing w:before="200" w:after="200"/>
    </w:pPr>
    <w:rPr>
      <w:sz w:val="24"/>
      <w:szCs w:val="24"/>
    </w:rPr>
  </w:style>
  <w:style w:type="paragraph" w:styleId="905">
    <w:name w:val="脚注文本"/>
    <w:basedOn w:val="879"/>
    <w:next w:val="905"/>
    <w:link w:val="879"/>
    <w:uiPriority w:val="99"/>
    <w:unhideWhenUsed/>
    <w:pPr>
      <w:spacing w:after="40" w:line="240" w:lineRule="auto"/>
    </w:pPr>
    <w:rPr>
      <w:sz w:val="18"/>
    </w:rPr>
  </w:style>
  <w:style w:type="paragraph" w:styleId="906">
    <w:name w:val="目录 6"/>
    <w:basedOn w:val="879"/>
    <w:next w:val="879"/>
    <w:link w:val="879"/>
    <w:uiPriority w:val="39"/>
    <w:unhideWhenUsed/>
    <w:pPr>
      <w:ind w:left="1417" w:right="0" w:firstLine="0"/>
      <w:spacing w:after="57"/>
    </w:pPr>
  </w:style>
  <w:style w:type="paragraph" w:styleId="907">
    <w:name w:val="图表目录"/>
    <w:basedOn w:val="879"/>
    <w:next w:val="879"/>
    <w:link w:val="879"/>
    <w:uiPriority w:val="99"/>
    <w:unhideWhenUsed/>
    <w:pPr>
      <w:spacing w:after="0" w:afterAutospacing="0"/>
    </w:pPr>
  </w:style>
  <w:style w:type="paragraph" w:styleId="908">
    <w:name w:val="目录 2"/>
    <w:basedOn w:val="879"/>
    <w:next w:val="879"/>
    <w:link w:val="879"/>
    <w:uiPriority w:val="39"/>
    <w:unhideWhenUsed/>
    <w:pPr>
      <w:ind w:left="283" w:right="0" w:firstLine="0"/>
      <w:spacing w:after="57"/>
    </w:pPr>
  </w:style>
  <w:style w:type="paragraph" w:styleId="909">
    <w:name w:val="目录 9"/>
    <w:basedOn w:val="879"/>
    <w:next w:val="879"/>
    <w:link w:val="879"/>
    <w:uiPriority w:val="39"/>
    <w:unhideWhenUsed/>
    <w:pPr>
      <w:ind w:left="2268" w:right="0" w:firstLine="0"/>
      <w:spacing w:after="57"/>
    </w:pPr>
  </w:style>
  <w:style w:type="paragraph" w:styleId="910">
    <w:name w:val="普通(网站)"/>
    <w:basedOn w:val="879"/>
    <w:next w:val="910"/>
    <w:link w:val="879"/>
    <w:uiPriority w:val="99"/>
    <w:unhideWhenUsed/>
    <w:pPr>
      <w:ind w:left="0" w:right="0"/>
      <w:jc w:val="left"/>
      <w:spacing w:before="100" w:beforeAutospacing="1" w:after="100" w:afterAutospacing="1"/>
    </w:pPr>
    <w:rPr>
      <w:sz w:val="24"/>
      <w:lang w:val="en-US" w:eastAsia="zh-CN" w:bidi="ar"/>
    </w:rPr>
  </w:style>
  <w:style w:type="paragraph" w:styleId="911">
    <w:name w:val="标题"/>
    <w:basedOn w:val="879"/>
    <w:next w:val="879"/>
    <w:link w:val="879"/>
    <w:uiPriority w:val="10"/>
    <w:qFormat/>
    <w:pPr>
      <w:contextualSpacing/>
      <w:spacing w:before="300" w:after="200"/>
    </w:pPr>
    <w:rPr>
      <w:sz w:val="48"/>
      <w:szCs w:val="48"/>
    </w:rPr>
  </w:style>
  <w:style w:type="table" w:styleId="912">
    <w:name w:val="网格型"/>
    <w:next w:val="912"/>
    <w:link w:val="879"/>
    <w:uiPriority w:val="59"/>
    <w:pPr>
      <w:spacing w:after="0" w:line="240" w:lineRule="auto"/>
    </w:pPr>
    <w:tblPr/>
  </w:style>
  <w:style w:type="character" w:styleId="913">
    <w:name w:val="要点"/>
    <w:basedOn w:val="889"/>
    <w:next w:val="913"/>
    <w:link w:val="879"/>
    <w:uiPriority w:val="22"/>
    <w:qFormat/>
    <w:rPr>
      <w:b/>
    </w:rPr>
  </w:style>
  <w:style w:type="character" w:styleId="914">
    <w:name w:val="尾注引用"/>
    <w:next w:val="914"/>
    <w:link w:val="879"/>
    <w:uiPriority w:val="99"/>
    <w:unhideWhenUsed/>
    <w:rPr>
      <w:vertAlign w:val="superscript"/>
    </w:rPr>
  </w:style>
  <w:style w:type="character" w:styleId="915">
    <w:name w:val="强调"/>
    <w:basedOn w:val="889"/>
    <w:next w:val="915"/>
    <w:link w:val="879"/>
    <w:uiPriority w:val="20"/>
    <w:qFormat/>
    <w:rPr>
      <w:i/>
    </w:rPr>
  </w:style>
  <w:style w:type="character" w:styleId="916">
    <w:name w:val="超链接"/>
    <w:next w:val="916"/>
    <w:link w:val="879"/>
    <w:uiPriority w:val="99"/>
    <w:unhideWhenUsed/>
    <w:rPr>
      <w:color w:val="0000ff"/>
      <w:u w:val="single"/>
    </w:rPr>
  </w:style>
  <w:style w:type="character" w:styleId="917">
    <w:name w:val="脚注引用"/>
    <w:next w:val="917"/>
    <w:link w:val="879"/>
    <w:uiPriority w:val="99"/>
    <w:unhideWhenUsed/>
    <w:rPr>
      <w:vertAlign w:val="superscript"/>
    </w:rPr>
  </w:style>
  <w:style w:type="paragraph" w:styleId="918">
    <w:name w:val="段"/>
    <w:next w:val="879"/>
    <w:link w:val="879"/>
    <w:qFormat/>
    <w:pPr>
      <w:ind w:firstLine="200"/>
      <w:jc w:val="both"/>
    </w:pPr>
    <w:rPr>
      <w:rFonts w:ascii="宋体" w:hAnsi="Times New Roman" w:eastAsia="宋体" w:cs="Times New Roman"/>
      <w:sz w:val="21"/>
      <w:lang w:val="en-US" w:eastAsia="zh-CN" w:bidi="ar-SA"/>
    </w:rPr>
  </w:style>
  <w:style w:type="character" w:styleId="919">
    <w:name w:val="要点1"/>
    <w:next w:val="919"/>
    <w:link w:val="879"/>
    <w:qFormat/>
    <w:rPr>
      <w:rFonts w:ascii="Times New Roman" w:hAnsi="Times New Roman" w:eastAsia="宋体" w:cs="Times New Roman"/>
      <w:b/>
    </w:rPr>
  </w:style>
  <w:style w:type="paragraph" w:styleId="920">
    <w:name w:val="标题 112"/>
    <w:basedOn w:val="879"/>
    <w:next w:val="879"/>
    <w:link w:val="921"/>
    <w:uiPriority w:val="9"/>
    <w:qFormat/>
    <w:pPr>
      <w:keepLines/>
      <w:keepNext/>
      <w:spacing w:before="480" w:after="200"/>
      <w:outlineLvl w:val="0"/>
    </w:pPr>
    <w:rPr>
      <w:rFonts w:ascii="Arial" w:hAnsi="Arial" w:eastAsia="Arial" w:cs="Arial"/>
      <w:sz w:val="40"/>
      <w:szCs w:val="40"/>
    </w:rPr>
  </w:style>
  <w:style w:type="character" w:styleId="921">
    <w:name w:val="Heading 1 Char"/>
    <w:next w:val="921"/>
    <w:link w:val="920"/>
    <w:uiPriority w:val="9"/>
    <w:qFormat/>
    <w:rPr>
      <w:rFonts w:ascii="Arial" w:hAnsi="Arial" w:eastAsia="Arial" w:cs="Arial"/>
      <w:sz w:val="40"/>
      <w:szCs w:val="40"/>
    </w:rPr>
  </w:style>
  <w:style w:type="paragraph" w:styleId="922">
    <w:name w:val="标题 211"/>
    <w:basedOn w:val="879"/>
    <w:next w:val="879"/>
    <w:link w:val="923"/>
    <w:uiPriority w:val="9"/>
    <w:unhideWhenUsed/>
    <w:qFormat/>
    <w:pPr>
      <w:keepLines/>
      <w:keepNext/>
      <w:spacing w:before="360" w:after="200"/>
      <w:outlineLvl w:val="1"/>
    </w:pPr>
    <w:rPr>
      <w:rFonts w:ascii="Arial" w:hAnsi="Arial" w:eastAsia="Arial" w:cs="Arial"/>
      <w:sz w:val="34"/>
    </w:rPr>
  </w:style>
  <w:style w:type="character" w:styleId="923">
    <w:name w:val="Heading 2 Char"/>
    <w:next w:val="923"/>
    <w:link w:val="922"/>
    <w:uiPriority w:val="9"/>
    <w:qFormat/>
    <w:rPr>
      <w:rFonts w:ascii="Arial" w:hAnsi="Arial" w:eastAsia="Arial" w:cs="Arial"/>
      <w:sz w:val="34"/>
    </w:rPr>
  </w:style>
  <w:style w:type="paragraph" w:styleId="924">
    <w:name w:val="标题 311"/>
    <w:basedOn w:val="879"/>
    <w:next w:val="879"/>
    <w:link w:val="925"/>
    <w:uiPriority w:val="9"/>
    <w:unhideWhenUsed/>
    <w:qFormat/>
    <w:pPr>
      <w:keepLines/>
      <w:keepNext/>
      <w:spacing w:before="320" w:after="200"/>
      <w:outlineLvl w:val="2"/>
    </w:pPr>
    <w:rPr>
      <w:rFonts w:ascii="Arial" w:hAnsi="Arial" w:eastAsia="Arial" w:cs="Arial"/>
      <w:sz w:val="30"/>
      <w:szCs w:val="30"/>
    </w:rPr>
  </w:style>
  <w:style w:type="character" w:styleId="925">
    <w:name w:val="Heading 3 Char"/>
    <w:next w:val="925"/>
    <w:link w:val="924"/>
    <w:uiPriority w:val="9"/>
    <w:qFormat/>
    <w:rPr>
      <w:rFonts w:ascii="Arial" w:hAnsi="Arial" w:eastAsia="Arial" w:cs="Arial"/>
      <w:sz w:val="30"/>
      <w:szCs w:val="30"/>
    </w:rPr>
  </w:style>
  <w:style w:type="paragraph" w:styleId="926">
    <w:name w:val="标题 412"/>
    <w:basedOn w:val="879"/>
    <w:next w:val="879"/>
    <w:link w:val="927"/>
    <w:uiPriority w:val="9"/>
    <w:unhideWhenUsed/>
    <w:qFormat/>
    <w:pPr>
      <w:keepLines/>
      <w:keepNext/>
      <w:spacing w:before="320" w:after="200"/>
      <w:outlineLvl w:val="3"/>
    </w:pPr>
    <w:rPr>
      <w:rFonts w:ascii="Arial" w:hAnsi="Arial" w:eastAsia="Arial" w:cs="Arial"/>
      <w:b/>
      <w:bCs/>
      <w:sz w:val="26"/>
      <w:szCs w:val="26"/>
    </w:rPr>
  </w:style>
  <w:style w:type="character" w:styleId="927">
    <w:name w:val="Heading 4 Char"/>
    <w:next w:val="927"/>
    <w:link w:val="926"/>
    <w:uiPriority w:val="9"/>
    <w:qFormat/>
    <w:rPr>
      <w:rFonts w:ascii="Arial" w:hAnsi="Arial" w:eastAsia="Arial" w:cs="Arial"/>
      <w:b/>
      <w:bCs/>
      <w:sz w:val="26"/>
      <w:szCs w:val="26"/>
    </w:rPr>
  </w:style>
  <w:style w:type="paragraph" w:styleId="928">
    <w:name w:val="标题 511"/>
    <w:basedOn w:val="879"/>
    <w:next w:val="879"/>
    <w:link w:val="929"/>
    <w:uiPriority w:val="9"/>
    <w:unhideWhenUsed/>
    <w:qFormat/>
    <w:pPr>
      <w:keepLines/>
      <w:keepNext/>
      <w:spacing w:before="320" w:after="200"/>
      <w:outlineLvl w:val="4"/>
    </w:pPr>
    <w:rPr>
      <w:rFonts w:ascii="Arial" w:hAnsi="Arial" w:eastAsia="Arial" w:cs="Arial"/>
      <w:b/>
      <w:bCs/>
      <w:sz w:val="24"/>
      <w:szCs w:val="24"/>
    </w:rPr>
  </w:style>
  <w:style w:type="character" w:styleId="929">
    <w:name w:val="Heading 5 Char"/>
    <w:next w:val="929"/>
    <w:link w:val="928"/>
    <w:uiPriority w:val="9"/>
    <w:qFormat/>
    <w:rPr>
      <w:rFonts w:ascii="Arial" w:hAnsi="Arial" w:eastAsia="Arial" w:cs="Arial"/>
      <w:b/>
      <w:bCs/>
      <w:sz w:val="24"/>
      <w:szCs w:val="24"/>
    </w:rPr>
  </w:style>
  <w:style w:type="paragraph" w:styleId="930">
    <w:name w:val="标题 611"/>
    <w:basedOn w:val="879"/>
    <w:next w:val="879"/>
    <w:link w:val="931"/>
    <w:uiPriority w:val="9"/>
    <w:unhideWhenUsed/>
    <w:qFormat/>
    <w:pPr>
      <w:keepLines/>
      <w:keepNext/>
      <w:spacing w:before="320" w:after="200"/>
      <w:outlineLvl w:val="5"/>
    </w:pPr>
    <w:rPr>
      <w:rFonts w:ascii="Arial" w:hAnsi="Arial" w:eastAsia="Arial" w:cs="Arial"/>
      <w:b/>
      <w:bCs/>
      <w:sz w:val="22"/>
      <w:szCs w:val="22"/>
    </w:rPr>
  </w:style>
  <w:style w:type="character" w:styleId="931">
    <w:name w:val="Heading 6 Char"/>
    <w:next w:val="931"/>
    <w:link w:val="930"/>
    <w:uiPriority w:val="9"/>
    <w:qFormat/>
    <w:rPr>
      <w:rFonts w:ascii="Arial" w:hAnsi="Arial" w:eastAsia="Arial" w:cs="Arial"/>
      <w:b/>
      <w:bCs/>
      <w:sz w:val="22"/>
      <w:szCs w:val="22"/>
    </w:rPr>
  </w:style>
  <w:style w:type="paragraph" w:styleId="932">
    <w:name w:val="标题 711"/>
    <w:basedOn w:val="879"/>
    <w:next w:val="879"/>
    <w:link w:val="933"/>
    <w:uiPriority w:val="9"/>
    <w:unhideWhenUsed/>
    <w:qFormat/>
    <w:pPr>
      <w:keepLines/>
      <w:keepNext/>
      <w:spacing w:before="320" w:after="200"/>
      <w:outlineLvl w:val="6"/>
    </w:pPr>
    <w:rPr>
      <w:rFonts w:ascii="Arial" w:hAnsi="Arial" w:eastAsia="Arial" w:cs="Arial"/>
      <w:b/>
      <w:bCs/>
      <w:i/>
      <w:iCs/>
      <w:sz w:val="22"/>
      <w:szCs w:val="22"/>
    </w:rPr>
  </w:style>
  <w:style w:type="character" w:styleId="933">
    <w:name w:val="Heading 7 Char"/>
    <w:next w:val="933"/>
    <w:link w:val="932"/>
    <w:uiPriority w:val="9"/>
    <w:qFormat/>
    <w:rPr>
      <w:rFonts w:ascii="Arial" w:hAnsi="Arial" w:eastAsia="Arial" w:cs="Arial"/>
      <w:b/>
      <w:bCs/>
      <w:i/>
      <w:iCs/>
      <w:sz w:val="22"/>
      <w:szCs w:val="22"/>
    </w:rPr>
  </w:style>
  <w:style w:type="paragraph" w:styleId="934">
    <w:name w:val="标题 811"/>
    <w:basedOn w:val="879"/>
    <w:next w:val="879"/>
    <w:link w:val="935"/>
    <w:uiPriority w:val="9"/>
    <w:unhideWhenUsed/>
    <w:qFormat/>
    <w:pPr>
      <w:keepLines/>
      <w:keepNext/>
      <w:spacing w:before="320" w:after="200"/>
      <w:outlineLvl w:val="7"/>
    </w:pPr>
    <w:rPr>
      <w:rFonts w:ascii="Arial" w:hAnsi="Arial" w:eastAsia="Arial" w:cs="Arial"/>
      <w:i/>
      <w:iCs/>
      <w:sz w:val="22"/>
      <w:szCs w:val="22"/>
    </w:rPr>
  </w:style>
  <w:style w:type="character" w:styleId="935">
    <w:name w:val="Heading 8 Char"/>
    <w:next w:val="935"/>
    <w:link w:val="934"/>
    <w:uiPriority w:val="9"/>
    <w:qFormat/>
    <w:rPr>
      <w:rFonts w:ascii="Arial" w:hAnsi="Arial" w:eastAsia="Arial" w:cs="Arial"/>
      <w:i/>
      <w:iCs/>
      <w:sz w:val="22"/>
      <w:szCs w:val="22"/>
    </w:rPr>
  </w:style>
  <w:style w:type="paragraph" w:styleId="936">
    <w:name w:val="标题 911"/>
    <w:basedOn w:val="879"/>
    <w:next w:val="879"/>
    <w:link w:val="937"/>
    <w:uiPriority w:val="9"/>
    <w:unhideWhenUsed/>
    <w:qFormat/>
    <w:pPr>
      <w:keepLines/>
      <w:keepNext/>
      <w:spacing w:before="320" w:after="200"/>
      <w:outlineLvl w:val="8"/>
    </w:pPr>
    <w:rPr>
      <w:rFonts w:ascii="Arial" w:hAnsi="Arial" w:eastAsia="Arial" w:cs="Arial"/>
      <w:i/>
      <w:iCs/>
      <w:sz w:val="21"/>
      <w:szCs w:val="21"/>
    </w:rPr>
  </w:style>
  <w:style w:type="character" w:styleId="937">
    <w:name w:val="Heading 9 Char"/>
    <w:next w:val="937"/>
    <w:link w:val="936"/>
    <w:uiPriority w:val="9"/>
    <w:qFormat/>
    <w:rPr>
      <w:rFonts w:ascii="Arial" w:hAnsi="Arial" w:eastAsia="Arial" w:cs="Arial"/>
      <w:i/>
      <w:iCs/>
      <w:sz w:val="21"/>
      <w:szCs w:val="21"/>
    </w:rPr>
  </w:style>
  <w:style w:type="character" w:styleId="938">
    <w:name w:val="默认段落字体112"/>
    <w:next w:val="938"/>
    <w:link w:val="879"/>
    <w:uiPriority w:val="1"/>
    <w:unhideWhenUsed/>
  </w:style>
  <w:style w:type="table" w:styleId="939">
    <w:name w:val="普通表格12"/>
    <w:next w:val="939"/>
    <w:link w:val="879"/>
    <w:uiPriority w:val="99"/>
    <w:unhideWhenUsed/>
    <w:qFormat/>
    <w:tblPr/>
  </w:style>
  <w:style w:type="paragraph" w:styleId="940">
    <w:name w:val="目录 711"/>
    <w:basedOn w:val="879"/>
    <w:next w:val="879"/>
    <w:link w:val="879"/>
    <w:uiPriority w:val="39"/>
    <w:unhideWhenUsed/>
    <w:qFormat/>
    <w:pPr>
      <w:ind w:left="1701" w:right="0" w:firstLine="0"/>
      <w:spacing w:after="57"/>
    </w:pPr>
  </w:style>
  <w:style w:type="paragraph" w:styleId="941">
    <w:name w:val="题注11"/>
    <w:basedOn w:val="879"/>
    <w:next w:val="879"/>
    <w:link w:val="879"/>
    <w:uiPriority w:val="35"/>
    <w:unhideWhenUsed/>
    <w:qFormat/>
    <w:pPr>
      <w:spacing w:line="276" w:lineRule="auto"/>
    </w:pPr>
    <w:rPr>
      <w:b/>
      <w:bCs/>
      <w:color w:val="4f81bd"/>
      <w:sz w:val="18"/>
      <w:szCs w:val="18"/>
    </w:rPr>
  </w:style>
  <w:style w:type="paragraph" w:styleId="942">
    <w:name w:val="目录 512"/>
    <w:basedOn w:val="879"/>
    <w:next w:val="879"/>
    <w:link w:val="879"/>
    <w:uiPriority w:val="39"/>
    <w:unhideWhenUsed/>
    <w:qFormat/>
    <w:pPr>
      <w:ind w:left="1134" w:right="0" w:firstLine="0"/>
      <w:spacing w:after="57"/>
    </w:pPr>
  </w:style>
  <w:style w:type="paragraph" w:styleId="943">
    <w:name w:val="目录 312"/>
    <w:basedOn w:val="879"/>
    <w:next w:val="879"/>
    <w:link w:val="879"/>
    <w:uiPriority w:val="39"/>
    <w:unhideWhenUsed/>
    <w:qFormat/>
    <w:pPr>
      <w:ind w:left="567" w:right="0" w:firstLine="0"/>
      <w:spacing w:after="57"/>
    </w:pPr>
  </w:style>
  <w:style w:type="paragraph" w:styleId="944">
    <w:name w:val="目录 811"/>
    <w:basedOn w:val="879"/>
    <w:next w:val="879"/>
    <w:link w:val="879"/>
    <w:uiPriority w:val="39"/>
    <w:unhideWhenUsed/>
    <w:qFormat/>
    <w:pPr>
      <w:ind w:left="1984" w:right="0" w:firstLine="0"/>
      <w:spacing w:after="57"/>
    </w:pPr>
  </w:style>
  <w:style w:type="paragraph" w:styleId="945">
    <w:name w:val="尾注文本11"/>
    <w:basedOn w:val="879"/>
    <w:next w:val="945"/>
    <w:link w:val="946"/>
    <w:uiPriority w:val="99"/>
    <w:unhideWhenUsed/>
    <w:qFormat/>
    <w:pPr>
      <w:spacing w:after="0" w:line="240" w:lineRule="auto"/>
    </w:pPr>
    <w:rPr>
      <w:sz w:val="20"/>
    </w:rPr>
  </w:style>
  <w:style w:type="character" w:styleId="946">
    <w:name w:val="Endnote Text Char"/>
    <w:next w:val="946"/>
    <w:link w:val="945"/>
    <w:uiPriority w:val="99"/>
    <w:qFormat/>
    <w:rPr>
      <w:sz w:val="20"/>
    </w:rPr>
  </w:style>
  <w:style w:type="paragraph" w:styleId="947">
    <w:name w:val="页脚13"/>
    <w:basedOn w:val="879"/>
    <w:next w:val="947"/>
    <w:link w:val="948"/>
    <w:uiPriority w:val="99"/>
    <w:unhideWhenUsed/>
    <w:qFormat/>
    <w:pPr>
      <w:spacing w:after="0" w:line="240" w:lineRule="auto"/>
      <w:tabs>
        <w:tab w:val="center" w:pos="7143" w:leader="none"/>
        <w:tab w:val="right" w:pos="14287" w:leader="none"/>
      </w:tabs>
    </w:pPr>
  </w:style>
  <w:style w:type="character" w:styleId="948">
    <w:name w:val="Footer Char"/>
    <w:next w:val="948"/>
    <w:link w:val="947"/>
    <w:uiPriority w:val="99"/>
    <w:qFormat/>
  </w:style>
  <w:style w:type="paragraph" w:styleId="949">
    <w:name w:val="页眉13"/>
    <w:basedOn w:val="879"/>
    <w:next w:val="949"/>
    <w:link w:val="950"/>
    <w:uiPriority w:val="99"/>
    <w:unhideWhenUsed/>
    <w:qFormat/>
    <w:pPr>
      <w:spacing w:after="0" w:line="240" w:lineRule="auto"/>
      <w:tabs>
        <w:tab w:val="center" w:pos="7143" w:leader="none"/>
        <w:tab w:val="right" w:pos="14287" w:leader="none"/>
      </w:tabs>
    </w:pPr>
  </w:style>
  <w:style w:type="character" w:styleId="950">
    <w:name w:val="Header Char"/>
    <w:next w:val="950"/>
    <w:link w:val="949"/>
    <w:uiPriority w:val="99"/>
    <w:qFormat/>
  </w:style>
  <w:style w:type="paragraph" w:styleId="951">
    <w:name w:val="目录 112"/>
    <w:basedOn w:val="879"/>
    <w:next w:val="879"/>
    <w:link w:val="879"/>
    <w:uiPriority w:val="39"/>
    <w:unhideWhenUsed/>
    <w:qFormat/>
    <w:pPr>
      <w:ind w:left="0" w:right="0" w:firstLine="0"/>
      <w:spacing w:after="57"/>
    </w:pPr>
  </w:style>
  <w:style w:type="paragraph" w:styleId="952">
    <w:name w:val="目录 411"/>
    <w:basedOn w:val="879"/>
    <w:next w:val="879"/>
    <w:link w:val="879"/>
    <w:uiPriority w:val="39"/>
    <w:unhideWhenUsed/>
    <w:qFormat/>
    <w:pPr>
      <w:ind w:left="850" w:right="0" w:firstLine="0"/>
      <w:spacing w:after="57"/>
    </w:pPr>
  </w:style>
  <w:style w:type="paragraph" w:styleId="953">
    <w:name w:val="副标题11"/>
    <w:basedOn w:val="879"/>
    <w:next w:val="879"/>
    <w:link w:val="954"/>
    <w:uiPriority w:val="11"/>
    <w:qFormat/>
    <w:pPr>
      <w:spacing w:before="200" w:after="200"/>
    </w:pPr>
    <w:rPr>
      <w:sz w:val="24"/>
      <w:szCs w:val="24"/>
    </w:rPr>
  </w:style>
  <w:style w:type="character" w:styleId="954">
    <w:name w:val="Subtitle Char"/>
    <w:next w:val="954"/>
    <w:link w:val="953"/>
    <w:uiPriority w:val="11"/>
    <w:qFormat/>
    <w:rPr>
      <w:sz w:val="24"/>
      <w:szCs w:val="24"/>
    </w:rPr>
  </w:style>
  <w:style w:type="paragraph" w:styleId="955">
    <w:name w:val="脚注文本12"/>
    <w:basedOn w:val="879"/>
    <w:next w:val="955"/>
    <w:link w:val="956"/>
    <w:uiPriority w:val="99"/>
    <w:unhideWhenUsed/>
    <w:qFormat/>
    <w:pPr>
      <w:spacing w:after="40" w:line="240" w:lineRule="auto"/>
    </w:pPr>
    <w:rPr>
      <w:sz w:val="18"/>
    </w:rPr>
  </w:style>
  <w:style w:type="character" w:styleId="956">
    <w:name w:val="Footnote Text Char"/>
    <w:next w:val="956"/>
    <w:link w:val="955"/>
    <w:uiPriority w:val="99"/>
    <w:qFormat/>
    <w:rPr>
      <w:sz w:val="18"/>
    </w:rPr>
  </w:style>
  <w:style w:type="paragraph" w:styleId="957">
    <w:name w:val="目录 611"/>
    <w:basedOn w:val="879"/>
    <w:next w:val="879"/>
    <w:link w:val="879"/>
    <w:uiPriority w:val="39"/>
    <w:unhideWhenUsed/>
    <w:qFormat/>
    <w:pPr>
      <w:ind w:left="1417" w:right="0" w:firstLine="0"/>
      <w:spacing w:after="57"/>
    </w:pPr>
  </w:style>
  <w:style w:type="paragraph" w:styleId="958">
    <w:name w:val="图表目录11"/>
    <w:basedOn w:val="879"/>
    <w:next w:val="879"/>
    <w:link w:val="879"/>
    <w:uiPriority w:val="99"/>
    <w:unhideWhenUsed/>
    <w:qFormat/>
    <w:pPr>
      <w:spacing w:after="0" w:afterAutospacing="0"/>
    </w:pPr>
  </w:style>
  <w:style w:type="paragraph" w:styleId="959">
    <w:name w:val="目录 212"/>
    <w:basedOn w:val="879"/>
    <w:next w:val="879"/>
    <w:link w:val="879"/>
    <w:uiPriority w:val="39"/>
    <w:unhideWhenUsed/>
    <w:qFormat/>
    <w:pPr>
      <w:ind w:left="283" w:right="0" w:firstLine="0"/>
      <w:spacing w:after="57"/>
    </w:pPr>
  </w:style>
  <w:style w:type="paragraph" w:styleId="960">
    <w:name w:val="目录 911"/>
    <w:basedOn w:val="879"/>
    <w:next w:val="879"/>
    <w:link w:val="879"/>
    <w:uiPriority w:val="39"/>
    <w:unhideWhenUsed/>
    <w:qFormat/>
    <w:pPr>
      <w:ind w:left="2268" w:right="0" w:firstLine="0"/>
      <w:spacing w:after="57"/>
    </w:pPr>
  </w:style>
  <w:style w:type="paragraph" w:styleId="961">
    <w:name w:val="标题11"/>
    <w:basedOn w:val="879"/>
    <w:next w:val="879"/>
    <w:link w:val="962"/>
    <w:uiPriority w:val="10"/>
    <w:qFormat/>
    <w:pPr>
      <w:contextualSpacing/>
      <w:spacing w:before="300" w:after="200"/>
    </w:pPr>
    <w:rPr>
      <w:sz w:val="48"/>
      <w:szCs w:val="48"/>
    </w:rPr>
  </w:style>
  <w:style w:type="character" w:styleId="962">
    <w:name w:val="Title Char"/>
    <w:next w:val="962"/>
    <w:link w:val="961"/>
    <w:uiPriority w:val="10"/>
    <w:qFormat/>
    <w:rPr>
      <w:sz w:val="48"/>
      <w:szCs w:val="48"/>
    </w:rPr>
  </w:style>
  <w:style w:type="table" w:styleId="963">
    <w:name w:val="网格型12"/>
    <w:next w:val="963"/>
    <w:link w:val="879"/>
    <w:uiPriority w:val="59"/>
    <w:qFormat/>
    <w:pPr>
      <w:spacing w:after="0" w:line="240" w:lineRule="auto"/>
    </w:pPr>
    <w:tblPr/>
  </w:style>
  <w:style w:type="character" w:styleId="964">
    <w:name w:val="尾注引用11"/>
    <w:next w:val="964"/>
    <w:link w:val="879"/>
    <w:uiPriority w:val="99"/>
    <w:unhideWhenUsed/>
    <w:qFormat/>
    <w:rPr>
      <w:vertAlign w:val="superscript"/>
    </w:rPr>
  </w:style>
  <w:style w:type="character" w:styleId="965">
    <w:name w:val="超链接12"/>
    <w:next w:val="965"/>
    <w:link w:val="879"/>
    <w:uiPriority w:val="99"/>
    <w:unhideWhenUsed/>
    <w:qFormat/>
    <w:rPr>
      <w:color w:val="0000ff"/>
      <w:u w:val="single"/>
    </w:rPr>
  </w:style>
  <w:style w:type="character" w:styleId="966">
    <w:name w:val="脚注引用12"/>
    <w:next w:val="966"/>
    <w:link w:val="879"/>
    <w:uiPriority w:val="99"/>
    <w:unhideWhenUsed/>
    <w:qFormat/>
    <w:rPr>
      <w:vertAlign w:val="superscript"/>
    </w:rPr>
  </w:style>
  <w:style w:type="paragraph" w:styleId="967">
    <w:name w:val="首行缩进"/>
    <w:basedOn w:val="879"/>
    <w:next w:val="967"/>
    <w:link w:val="879"/>
    <w:qFormat/>
    <w:pPr>
      <w:ind w:firstLine="480"/>
    </w:pPr>
    <w:rPr>
      <w:rFonts w:ascii="Calibri" w:hAnsi="Calibri"/>
      <w:lang w:val="zh-CN"/>
    </w:rPr>
  </w:style>
  <w:style w:type="character" w:styleId="968">
    <w:name w:val="NormalCharacter1"/>
    <w:next w:val="968"/>
    <w:link w:val="879"/>
    <w:qFormat/>
    <w:rPr>
      <w:sz w:val="21"/>
      <w:szCs w:val="24"/>
      <w:lang w:val="en-US" w:eastAsia="zh-CN" w:bidi="ar-SA"/>
    </w:rPr>
  </w:style>
  <w:style w:type="paragraph" w:styleId="969">
    <w:name w:val="List Paragraph"/>
    <w:basedOn w:val="879"/>
    <w:next w:val="969"/>
    <w:link w:val="879"/>
    <w:uiPriority w:val="34"/>
    <w:qFormat/>
    <w:pPr>
      <w:contextualSpacing/>
      <w:ind w:left="720"/>
    </w:pPr>
  </w:style>
  <w:style w:type="paragraph" w:styleId="970">
    <w:name w:val="No Spacing"/>
    <w:next w:val="970"/>
    <w:link w:val="879"/>
    <w:uiPriority w:val="1"/>
    <w:qFormat/>
    <w:pPr>
      <w:spacing w:before="0" w:after="0" w:line="240" w:lineRule="auto"/>
    </w:pPr>
    <w:rPr>
      <w:rFonts w:ascii="Times New Roman" w:hAnsi="Times New Roman" w:eastAsia="宋体" w:cs="Times New Roman"/>
    </w:rPr>
  </w:style>
  <w:style w:type="paragraph" w:styleId="971">
    <w:name w:val="Quote"/>
    <w:basedOn w:val="879"/>
    <w:next w:val="879"/>
    <w:link w:val="972"/>
    <w:uiPriority w:val="29"/>
    <w:qFormat/>
    <w:pPr>
      <w:ind w:left="720" w:right="720"/>
    </w:pPr>
    <w:rPr>
      <w:i/>
    </w:rPr>
  </w:style>
  <w:style w:type="character" w:styleId="972">
    <w:name w:val="Quote Char"/>
    <w:next w:val="972"/>
    <w:link w:val="971"/>
    <w:uiPriority w:val="29"/>
    <w:qFormat/>
    <w:rPr>
      <w:i/>
    </w:rPr>
  </w:style>
  <w:style w:type="paragraph" w:styleId="973">
    <w:name w:val="Intense Quote"/>
    <w:basedOn w:val="879"/>
    <w:next w:val="879"/>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name w:val="Intense Quote Char"/>
    <w:next w:val="974"/>
    <w:link w:val="973"/>
    <w:uiPriority w:val="30"/>
    <w:qFormat/>
    <w:rPr>
      <w:i/>
    </w:rPr>
  </w:style>
  <w:style w:type="paragraph" w:styleId="975">
    <w:name w:val="标题 111"/>
    <w:basedOn w:val="879"/>
    <w:next w:val="879"/>
    <w:link w:val="976"/>
    <w:uiPriority w:val="9"/>
    <w:qFormat/>
    <w:pPr>
      <w:keepLines/>
      <w:keepNext/>
      <w:spacing w:before="480" w:after="200"/>
      <w:outlineLvl w:val="0"/>
    </w:pPr>
    <w:rPr>
      <w:rFonts w:ascii="Arial" w:hAnsi="Arial" w:eastAsia="Arial" w:cs="Arial"/>
      <w:sz w:val="40"/>
      <w:szCs w:val="40"/>
    </w:rPr>
  </w:style>
  <w:style w:type="character" w:styleId="976">
    <w:name w:val="标题 1 字符1"/>
    <w:next w:val="976"/>
    <w:link w:val="975"/>
    <w:uiPriority w:val="9"/>
    <w:qFormat/>
    <w:rPr>
      <w:rFonts w:ascii="Arial" w:hAnsi="Arial" w:eastAsia="Arial" w:cs="Arial"/>
      <w:sz w:val="40"/>
      <w:szCs w:val="40"/>
    </w:rPr>
  </w:style>
  <w:style w:type="paragraph" w:styleId="977">
    <w:name w:val="标题 21"/>
    <w:basedOn w:val="879"/>
    <w:next w:val="879"/>
    <w:link w:val="978"/>
    <w:uiPriority w:val="9"/>
    <w:qFormat/>
    <w:pPr>
      <w:keepLines/>
      <w:keepNext/>
      <w:spacing w:before="360" w:after="200"/>
      <w:outlineLvl w:val="1"/>
    </w:pPr>
    <w:rPr>
      <w:rFonts w:ascii="Arial" w:hAnsi="Arial" w:eastAsia="Arial" w:cs="Arial"/>
      <w:sz w:val="34"/>
    </w:rPr>
  </w:style>
  <w:style w:type="character" w:styleId="978">
    <w:name w:val="标题 2 字符"/>
    <w:next w:val="978"/>
    <w:link w:val="977"/>
    <w:uiPriority w:val="9"/>
    <w:qFormat/>
    <w:rPr>
      <w:rFonts w:ascii="Arial" w:hAnsi="Arial" w:eastAsia="Arial" w:cs="Arial"/>
      <w:sz w:val="34"/>
    </w:rPr>
  </w:style>
  <w:style w:type="paragraph" w:styleId="979">
    <w:name w:val="标题 31"/>
    <w:basedOn w:val="879"/>
    <w:next w:val="879"/>
    <w:link w:val="980"/>
    <w:uiPriority w:val="9"/>
    <w:qFormat/>
    <w:pPr>
      <w:keepLines/>
      <w:keepNext/>
      <w:spacing w:before="320" w:after="200"/>
      <w:outlineLvl w:val="2"/>
    </w:pPr>
    <w:rPr>
      <w:rFonts w:ascii="Arial" w:hAnsi="Arial" w:eastAsia="Arial" w:cs="Arial"/>
      <w:sz w:val="30"/>
      <w:szCs w:val="30"/>
    </w:rPr>
  </w:style>
  <w:style w:type="character" w:styleId="980">
    <w:name w:val="标题 3 字符"/>
    <w:next w:val="980"/>
    <w:link w:val="979"/>
    <w:uiPriority w:val="9"/>
    <w:qFormat/>
    <w:rPr>
      <w:rFonts w:ascii="Arial" w:hAnsi="Arial" w:eastAsia="Arial" w:cs="Arial"/>
      <w:sz w:val="30"/>
      <w:szCs w:val="30"/>
    </w:rPr>
  </w:style>
  <w:style w:type="paragraph" w:styleId="981">
    <w:name w:val="标题 411"/>
    <w:basedOn w:val="879"/>
    <w:next w:val="879"/>
    <w:link w:val="982"/>
    <w:uiPriority w:val="9"/>
    <w:qFormat/>
    <w:pPr>
      <w:keepLines/>
      <w:keepNext/>
      <w:spacing w:before="320" w:after="200"/>
      <w:outlineLvl w:val="3"/>
    </w:pPr>
    <w:rPr>
      <w:rFonts w:ascii="Arial" w:hAnsi="Arial" w:eastAsia="Arial" w:cs="Arial"/>
      <w:b/>
      <w:bCs/>
      <w:sz w:val="26"/>
      <w:szCs w:val="26"/>
    </w:rPr>
  </w:style>
  <w:style w:type="character" w:styleId="982">
    <w:name w:val="标题 4 字符1"/>
    <w:next w:val="982"/>
    <w:link w:val="981"/>
    <w:uiPriority w:val="9"/>
    <w:qFormat/>
    <w:rPr>
      <w:rFonts w:ascii="Arial" w:hAnsi="Arial" w:eastAsia="Arial" w:cs="Arial"/>
      <w:b/>
      <w:bCs/>
      <w:sz w:val="26"/>
      <w:szCs w:val="26"/>
    </w:rPr>
  </w:style>
  <w:style w:type="paragraph" w:styleId="983">
    <w:name w:val="标题 51"/>
    <w:basedOn w:val="879"/>
    <w:next w:val="879"/>
    <w:link w:val="984"/>
    <w:uiPriority w:val="9"/>
    <w:qFormat/>
    <w:pPr>
      <w:keepLines/>
      <w:keepNext/>
      <w:spacing w:before="320" w:after="200"/>
      <w:outlineLvl w:val="4"/>
    </w:pPr>
    <w:rPr>
      <w:rFonts w:ascii="Arial" w:hAnsi="Arial" w:eastAsia="Arial" w:cs="Arial"/>
      <w:b/>
      <w:bCs/>
      <w:sz w:val="24"/>
      <w:szCs w:val="24"/>
    </w:rPr>
  </w:style>
  <w:style w:type="character" w:styleId="984">
    <w:name w:val="标题 5 字符"/>
    <w:next w:val="984"/>
    <w:link w:val="983"/>
    <w:uiPriority w:val="9"/>
    <w:qFormat/>
    <w:rPr>
      <w:rFonts w:ascii="Arial" w:hAnsi="Arial" w:eastAsia="Arial" w:cs="Arial"/>
      <w:b/>
      <w:bCs/>
      <w:sz w:val="24"/>
      <w:szCs w:val="24"/>
    </w:rPr>
  </w:style>
  <w:style w:type="paragraph" w:styleId="985">
    <w:name w:val="标题 61"/>
    <w:basedOn w:val="879"/>
    <w:next w:val="879"/>
    <w:link w:val="986"/>
    <w:uiPriority w:val="9"/>
    <w:qFormat/>
    <w:pPr>
      <w:keepLines/>
      <w:keepNext/>
      <w:spacing w:before="320" w:after="200"/>
      <w:outlineLvl w:val="5"/>
    </w:pPr>
    <w:rPr>
      <w:rFonts w:ascii="Arial" w:hAnsi="Arial" w:eastAsia="Arial" w:cs="Arial"/>
      <w:b/>
      <w:bCs/>
      <w:sz w:val="22"/>
      <w:szCs w:val="22"/>
    </w:rPr>
  </w:style>
  <w:style w:type="character" w:styleId="986">
    <w:name w:val="标题 6 字符"/>
    <w:next w:val="986"/>
    <w:link w:val="985"/>
    <w:uiPriority w:val="9"/>
    <w:qFormat/>
    <w:rPr>
      <w:rFonts w:ascii="Arial" w:hAnsi="Arial" w:eastAsia="Arial" w:cs="Arial"/>
      <w:b/>
      <w:bCs/>
      <w:sz w:val="22"/>
      <w:szCs w:val="22"/>
    </w:rPr>
  </w:style>
  <w:style w:type="paragraph" w:styleId="987">
    <w:name w:val="标题 71"/>
    <w:basedOn w:val="879"/>
    <w:next w:val="879"/>
    <w:link w:val="988"/>
    <w:uiPriority w:val="9"/>
    <w:qFormat/>
    <w:pPr>
      <w:keepLines/>
      <w:keepNext/>
      <w:spacing w:before="320" w:after="200"/>
      <w:outlineLvl w:val="6"/>
    </w:pPr>
    <w:rPr>
      <w:rFonts w:ascii="Arial" w:hAnsi="Arial" w:eastAsia="Arial" w:cs="Arial"/>
      <w:b/>
      <w:bCs/>
      <w:i/>
      <w:iCs/>
      <w:sz w:val="22"/>
      <w:szCs w:val="22"/>
    </w:rPr>
  </w:style>
  <w:style w:type="character" w:styleId="988">
    <w:name w:val="标题 7 字符"/>
    <w:next w:val="988"/>
    <w:link w:val="987"/>
    <w:uiPriority w:val="9"/>
    <w:qFormat/>
    <w:rPr>
      <w:rFonts w:ascii="Arial" w:hAnsi="Arial" w:eastAsia="Arial" w:cs="Arial"/>
      <w:b/>
      <w:bCs/>
      <w:i/>
      <w:iCs/>
      <w:sz w:val="22"/>
      <w:szCs w:val="22"/>
    </w:rPr>
  </w:style>
  <w:style w:type="paragraph" w:styleId="989">
    <w:name w:val="标题 81"/>
    <w:basedOn w:val="879"/>
    <w:next w:val="879"/>
    <w:link w:val="990"/>
    <w:uiPriority w:val="9"/>
    <w:qFormat/>
    <w:pPr>
      <w:keepLines/>
      <w:keepNext/>
      <w:spacing w:before="320" w:after="200"/>
      <w:outlineLvl w:val="7"/>
    </w:pPr>
    <w:rPr>
      <w:rFonts w:ascii="Arial" w:hAnsi="Arial" w:eastAsia="Arial" w:cs="Arial"/>
      <w:i/>
      <w:iCs/>
      <w:sz w:val="22"/>
      <w:szCs w:val="22"/>
    </w:rPr>
  </w:style>
  <w:style w:type="character" w:styleId="990">
    <w:name w:val="标题 8 字符"/>
    <w:next w:val="990"/>
    <w:link w:val="989"/>
    <w:uiPriority w:val="9"/>
    <w:qFormat/>
    <w:rPr>
      <w:rFonts w:ascii="Arial" w:hAnsi="Arial" w:eastAsia="Arial" w:cs="Arial"/>
      <w:i/>
      <w:iCs/>
      <w:sz w:val="22"/>
      <w:szCs w:val="22"/>
    </w:rPr>
  </w:style>
  <w:style w:type="paragraph" w:styleId="991">
    <w:name w:val="标题 91"/>
    <w:basedOn w:val="879"/>
    <w:next w:val="879"/>
    <w:link w:val="992"/>
    <w:uiPriority w:val="9"/>
    <w:qFormat/>
    <w:pPr>
      <w:keepLines/>
      <w:keepNext/>
      <w:spacing w:before="320" w:after="200"/>
      <w:outlineLvl w:val="8"/>
    </w:pPr>
    <w:rPr>
      <w:rFonts w:ascii="Arial" w:hAnsi="Arial" w:eastAsia="Arial" w:cs="Arial"/>
      <w:i/>
      <w:iCs/>
      <w:sz w:val="21"/>
      <w:szCs w:val="21"/>
    </w:rPr>
  </w:style>
  <w:style w:type="character" w:styleId="992">
    <w:name w:val="标题 9 字符"/>
    <w:next w:val="992"/>
    <w:link w:val="991"/>
    <w:uiPriority w:val="9"/>
    <w:qFormat/>
    <w:rPr>
      <w:rFonts w:ascii="Arial" w:hAnsi="Arial" w:eastAsia="Arial" w:cs="Arial"/>
      <w:i/>
      <w:iCs/>
      <w:sz w:val="21"/>
      <w:szCs w:val="21"/>
    </w:rPr>
  </w:style>
  <w:style w:type="character" w:styleId="993">
    <w:name w:val="默认段落字体111"/>
    <w:next w:val="993"/>
    <w:link w:val="879"/>
    <w:uiPriority w:val="1"/>
    <w:unhideWhenUsed/>
    <w:qFormat/>
  </w:style>
  <w:style w:type="table" w:styleId="994">
    <w:name w:val="普通表格11"/>
    <w:next w:val="994"/>
    <w:link w:val="879"/>
    <w:uiPriority w:val="99"/>
    <w:unhideWhenUsed/>
    <w:qFormat/>
    <w:tblPr/>
  </w:style>
  <w:style w:type="paragraph" w:styleId="995">
    <w:name w:val="目录 71"/>
    <w:basedOn w:val="879"/>
    <w:next w:val="879"/>
    <w:link w:val="879"/>
    <w:uiPriority w:val="39"/>
    <w:unhideWhenUsed/>
    <w:qFormat/>
    <w:pPr>
      <w:ind w:left="1701" w:right="0" w:firstLine="0"/>
      <w:spacing w:after="57"/>
    </w:pPr>
  </w:style>
  <w:style w:type="paragraph" w:styleId="996">
    <w:name w:val="正文缩进13"/>
    <w:basedOn w:val="879"/>
    <w:next w:val="996"/>
    <w:link w:val="879"/>
    <w:qFormat/>
    <w:pPr>
      <w:ind w:firstLine="420"/>
      <w:jc w:val="left"/>
      <w:widowControl/>
    </w:pPr>
    <w:rPr>
      <w:rFonts w:eastAsia="楷体_GB2312"/>
      <w:sz w:val="24"/>
      <w:szCs w:val="20"/>
    </w:rPr>
  </w:style>
  <w:style w:type="paragraph" w:styleId="997">
    <w:name w:val="题注1"/>
    <w:basedOn w:val="879"/>
    <w:next w:val="879"/>
    <w:link w:val="879"/>
    <w:uiPriority w:val="35"/>
    <w:qFormat/>
    <w:pPr>
      <w:spacing w:line="276" w:lineRule="auto"/>
    </w:pPr>
    <w:rPr>
      <w:b/>
      <w:bCs/>
      <w:color w:val="4f81bd"/>
      <w:sz w:val="18"/>
      <w:szCs w:val="18"/>
    </w:rPr>
  </w:style>
  <w:style w:type="paragraph" w:styleId="998">
    <w:name w:val="正文文本11"/>
    <w:basedOn w:val="879"/>
    <w:next w:val="998"/>
    <w:link w:val="879"/>
    <w:qFormat/>
    <w:pPr>
      <w:spacing w:after="120"/>
    </w:pPr>
  </w:style>
  <w:style w:type="paragraph" w:styleId="999">
    <w:name w:val="正文文本缩进111"/>
    <w:basedOn w:val="879"/>
    <w:next w:val="1000"/>
    <w:link w:val="879"/>
    <w:qFormat/>
    <w:pPr>
      <w:ind w:left="420"/>
      <w:spacing w:after="120"/>
    </w:pPr>
  </w:style>
  <w:style w:type="paragraph" w:styleId="1000">
    <w:name w:val="寄信人地址12"/>
    <w:basedOn w:val="879"/>
    <w:next w:val="1000"/>
    <w:link w:val="879"/>
    <w:uiPriority w:val="99"/>
    <w:unhideWhenUsed/>
    <w:qFormat/>
    <w:rPr>
      <w:rFonts w:ascii="Cambria" w:hAnsi="Cambria" w:eastAsia="宋体" w:cs="Times New Roman"/>
    </w:rPr>
  </w:style>
  <w:style w:type="paragraph" w:styleId="1001">
    <w:name w:val="目录 511"/>
    <w:basedOn w:val="879"/>
    <w:next w:val="879"/>
    <w:link w:val="879"/>
    <w:uiPriority w:val="39"/>
    <w:unhideWhenUsed/>
    <w:qFormat/>
    <w:pPr>
      <w:ind w:left="1134" w:right="0" w:firstLine="0"/>
      <w:spacing w:after="57"/>
    </w:pPr>
  </w:style>
  <w:style w:type="paragraph" w:styleId="1002">
    <w:name w:val="目录 311"/>
    <w:basedOn w:val="879"/>
    <w:next w:val="879"/>
    <w:link w:val="879"/>
    <w:uiPriority w:val="39"/>
    <w:unhideWhenUsed/>
    <w:qFormat/>
    <w:pPr>
      <w:ind w:left="567" w:right="0" w:firstLine="0"/>
      <w:spacing w:after="57"/>
    </w:pPr>
  </w:style>
  <w:style w:type="paragraph" w:styleId="1003">
    <w:name w:val="纯文本12"/>
    <w:basedOn w:val="879"/>
    <w:next w:val="1003"/>
    <w:link w:val="879"/>
    <w:qFormat/>
    <w:rPr>
      <w:rFonts w:ascii="宋体" w:hAnsi="Courier New" w:eastAsia="楷体_GB2312" w:cs="Times New Roman"/>
      <w:sz w:val="26"/>
    </w:rPr>
  </w:style>
  <w:style w:type="paragraph" w:styleId="1004">
    <w:name w:val="目录 81"/>
    <w:basedOn w:val="879"/>
    <w:next w:val="879"/>
    <w:link w:val="879"/>
    <w:uiPriority w:val="39"/>
    <w:unhideWhenUsed/>
    <w:qFormat/>
    <w:pPr>
      <w:ind w:left="1984" w:right="0" w:firstLine="0"/>
      <w:spacing w:after="57"/>
    </w:pPr>
  </w:style>
  <w:style w:type="paragraph" w:styleId="1005">
    <w:name w:val="正文文本缩进 211"/>
    <w:basedOn w:val="879"/>
    <w:next w:val="1005"/>
    <w:link w:val="879"/>
    <w:qFormat/>
    <w:pPr>
      <w:ind w:left="1" w:firstLine="480"/>
      <w:spacing w:line="400" w:lineRule="exact"/>
      <w:tabs>
        <w:tab w:val="left" w:pos="360" w:leader="none"/>
      </w:tabs>
    </w:pPr>
    <w:rPr>
      <w:rFonts w:ascii="Times New Roman" w:hAnsi="Times New Roman"/>
      <w:sz w:val="24"/>
      <w:szCs w:val="24"/>
    </w:rPr>
  </w:style>
  <w:style w:type="paragraph" w:styleId="1006">
    <w:name w:val="尾注文本1"/>
    <w:basedOn w:val="879"/>
    <w:next w:val="1006"/>
    <w:link w:val="1007"/>
    <w:uiPriority w:val="99"/>
    <w:unhideWhenUsed/>
    <w:pPr>
      <w:spacing w:after="0" w:line="240" w:lineRule="auto"/>
    </w:pPr>
    <w:rPr>
      <w:sz w:val="20"/>
    </w:rPr>
  </w:style>
  <w:style w:type="character" w:styleId="1007">
    <w:name w:val="尾注文本 字符"/>
    <w:next w:val="1007"/>
    <w:link w:val="1006"/>
    <w:uiPriority w:val="99"/>
    <w:qFormat/>
    <w:rPr>
      <w:sz w:val="20"/>
    </w:rPr>
  </w:style>
  <w:style w:type="paragraph" w:styleId="1008">
    <w:name w:val="批注框文本11"/>
    <w:basedOn w:val="879"/>
    <w:next w:val="1008"/>
    <w:link w:val="879"/>
    <w:qFormat/>
    <w:rPr>
      <w:sz w:val="16"/>
      <w:szCs w:val="16"/>
    </w:rPr>
  </w:style>
  <w:style w:type="paragraph" w:styleId="1009">
    <w:name w:val="页脚12"/>
    <w:basedOn w:val="879"/>
    <w:next w:val="1009"/>
    <w:link w:val="1010"/>
    <w:uiPriority w:val="99"/>
    <w:unhideWhenUsed/>
    <w:qFormat/>
    <w:pPr>
      <w:spacing w:after="0" w:line="240" w:lineRule="auto"/>
      <w:tabs>
        <w:tab w:val="center" w:pos="7143" w:leader="none"/>
        <w:tab w:val="right" w:pos="14287" w:leader="none"/>
      </w:tabs>
    </w:pPr>
  </w:style>
  <w:style w:type="character" w:styleId="1010">
    <w:name w:val="页脚 字符1"/>
    <w:next w:val="1010"/>
    <w:link w:val="1009"/>
    <w:uiPriority w:val="99"/>
    <w:qFormat/>
  </w:style>
  <w:style w:type="character" w:styleId="1011">
    <w:name w:val="Caption Char"/>
    <w:next w:val="1011"/>
    <w:link w:val="1009"/>
    <w:uiPriority w:val="99"/>
    <w:qFormat/>
  </w:style>
  <w:style w:type="paragraph" w:styleId="1012">
    <w:name w:val="页眉12"/>
    <w:basedOn w:val="879"/>
    <w:next w:val="1012"/>
    <w:link w:val="1013"/>
    <w:uiPriority w:val="99"/>
    <w:unhideWhenUsed/>
    <w:qFormat/>
    <w:pPr>
      <w:spacing w:after="0" w:line="240" w:lineRule="auto"/>
      <w:tabs>
        <w:tab w:val="center" w:pos="7143" w:leader="none"/>
        <w:tab w:val="right" w:pos="14287" w:leader="none"/>
      </w:tabs>
    </w:pPr>
  </w:style>
  <w:style w:type="character" w:styleId="1013">
    <w:name w:val="页眉 字符1"/>
    <w:next w:val="1013"/>
    <w:link w:val="1012"/>
    <w:uiPriority w:val="99"/>
    <w:qFormat/>
  </w:style>
  <w:style w:type="paragraph" w:styleId="1014">
    <w:name w:val="目录 111"/>
    <w:basedOn w:val="879"/>
    <w:next w:val="879"/>
    <w:link w:val="879"/>
    <w:uiPriority w:val="39"/>
    <w:unhideWhenUsed/>
    <w:pPr>
      <w:ind w:left="0" w:right="0" w:firstLine="0"/>
      <w:spacing w:after="57"/>
    </w:pPr>
  </w:style>
  <w:style w:type="paragraph" w:styleId="1015">
    <w:name w:val="目录 41"/>
    <w:basedOn w:val="879"/>
    <w:next w:val="879"/>
    <w:link w:val="879"/>
    <w:uiPriority w:val="39"/>
    <w:unhideWhenUsed/>
    <w:qFormat/>
    <w:pPr>
      <w:ind w:left="850" w:right="0" w:firstLine="0"/>
      <w:spacing w:after="57"/>
    </w:pPr>
  </w:style>
  <w:style w:type="paragraph" w:styleId="1016">
    <w:name w:val="副标题1"/>
    <w:basedOn w:val="879"/>
    <w:next w:val="879"/>
    <w:link w:val="1017"/>
    <w:uiPriority w:val="11"/>
    <w:qFormat/>
    <w:pPr>
      <w:spacing w:before="200" w:after="200"/>
    </w:pPr>
    <w:rPr>
      <w:sz w:val="24"/>
      <w:szCs w:val="24"/>
    </w:rPr>
  </w:style>
  <w:style w:type="character" w:styleId="1017">
    <w:name w:val="副标题 字符"/>
    <w:next w:val="1017"/>
    <w:link w:val="1016"/>
    <w:uiPriority w:val="11"/>
    <w:qFormat/>
    <w:rPr>
      <w:sz w:val="24"/>
      <w:szCs w:val="24"/>
    </w:rPr>
  </w:style>
  <w:style w:type="paragraph" w:styleId="1018">
    <w:name w:val="脚注文本11"/>
    <w:basedOn w:val="879"/>
    <w:next w:val="1018"/>
    <w:link w:val="1019"/>
    <w:uiPriority w:val="99"/>
    <w:unhideWhenUsed/>
    <w:qFormat/>
    <w:pPr>
      <w:spacing w:after="40" w:line="240" w:lineRule="auto"/>
    </w:pPr>
    <w:rPr>
      <w:sz w:val="18"/>
    </w:rPr>
  </w:style>
  <w:style w:type="character" w:styleId="1019">
    <w:name w:val="脚注文本 字符"/>
    <w:next w:val="1019"/>
    <w:link w:val="1018"/>
    <w:uiPriority w:val="99"/>
    <w:qFormat/>
    <w:rPr>
      <w:sz w:val="18"/>
    </w:rPr>
  </w:style>
  <w:style w:type="paragraph" w:styleId="1020">
    <w:name w:val="目录 61"/>
    <w:basedOn w:val="879"/>
    <w:next w:val="879"/>
    <w:link w:val="879"/>
    <w:uiPriority w:val="39"/>
    <w:unhideWhenUsed/>
    <w:qFormat/>
    <w:pPr>
      <w:ind w:left="1417" w:right="0" w:firstLine="0"/>
      <w:spacing w:after="57"/>
    </w:pPr>
  </w:style>
  <w:style w:type="paragraph" w:styleId="1021">
    <w:name w:val="图表目录1"/>
    <w:basedOn w:val="879"/>
    <w:next w:val="879"/>
    <w:link w:val="879"/>
    <w:uiPriority w:val="99"/>
    <w:unhideWhenUsed/>
    <w:qFormat/>
    <w:pPr>
      <w:spacing w:after="0" w:afterAutospacing="0"/>
    </w:pPr>
  </w:style>
  <w:style w:type="paragraph" w:styleId="1022">
    <w:name w:val="目录 211"/>
    <w:basedOn w:val="879"/>
    <w:next w:val="879"/>
    <w:link w:val="879"/>
    <w:uiPriority w:val="39"/>
    <w:unhideWhenUsed/>
    <w:qFormat/>
    <w:pPr>
      <w:ind w:left="283" w:right="0" w:firstLine="0"/>
      <w:spacing w:after="57"/>
    </w:pPr>
  </w:style>
  <w:style w:type="paragraph" w:styleId="1023">
    <w:name w:val="目录 91"/>
    <w:basedOn w:val="879"/>
    <w:next w:val="879"/>
    <w:link w:val="879"/>
    <w:uiPriority w:val="39"/>
    <w:unhideWhenUsed/>
    <w:qFormat/>
    <w:pPr>
      <w:ind w:left="2268" w:right="0" w:firstLine="0"/>
      <w:spacing w:after="57"/>
    </w:pPr>
  </w:style>
  <w:style w:type="paragraph" w:styleId="1024">
    <w:name w:val="标题1"/>
    <w:basedOn w:val="879"/>
    <w:next w:val="879"/>
    <w:link w:val="1025"/>
    <w:uiPriority w:val="10"/>
    <w:qFormat/>
    <w:pPr>
      <w:contextualSpacing/>
      <w:spacing w:before="300" w:after="200"/>
    </w:pPr>
    <w:rPr>
      <w:sz w:val="48"/>
      <w:szCs w:val="48"/>
    </w:rPr>
  </w:style>
  <w:style w:type="character" w:styleId="1025">
    <w:name w:val="标题 字符"/>
    <w:next w:val="1025"/>
    <w:link w:val="1024"/>
    <w:uiPriority w:val="10"/>
    <w:qFormat/>
    <w:rPr>
      <w:sz w:val="48"/>
      <w:szCs w:val="48"/>
    </w:rPr>
  </w:style>
  <w:style w:type="paragraph" w:styleId="1026">
    <w:name w:val="正文首行缩进 211"/>
    <w:basedOn w:val="999"/>
    <w:next w:val="1026"/>
    <w:link w:val="879"/>
    <w:uiPriority w:val="99"/>
    <w:unhideWhenUsed/>
    <w:qFormat/>
    <w:pPr>
      <w:ind w:firstLine="420"/>
    </w:pPr>
  </w:style>
  <w:style w:type="table" w:styleId="1027">
    <w:name w:val="网格型11"/>
    <w:next w:val="1027"/>
    <w:link w:val="879"/>
    <w:uiPriority w:val="59"/>
    <w:qFormat/>
    <w:rPr>
      <w:lang w:val="en-US" w:eastAsia="zh-CN" w:bidi="ar-SA"/>
    </w:rPr>
    <w:tblPr/>
  </w:style>
  <w:style w:type="character" w:styleId="1028">
    <w:name w:val="尾注引用1"/>
    <w:next w:val="1028"/>
    <w:link w:val="879"/>
    <w:uiPriority w:val="99"/>
    <w:unhideWhenUsed/>
    <w:qFormat/>
    <w:rPr>
      <w:vertAlign w:val="superscript"/>
    </w:rPr>
  </w:style>
  <w:style w:type="character" w:styleId="1029">
    <w:name w:val="超链接11"/>
    <w:next w:val="1029"/>
    <w:link w:val="879"/>
    <w:uiPriority w:val="99"/>
    <w:unhideWhenUsed/>
    <w:qFormat/>
    <w:rPr>
      <w:color w:val="0000ff"/>
      <w:u w:val="single"/>
    </w:rPr>
  </w:style>
  <w:style w:type="character" w:styleId="1030">
    <w:name w:val="脚注引用11"/>
    <w:next w:val="1030"/>
    <w:link w:val="879"/>
    <w:uiPriority w:val="99"/>
    <w:unhideWhenUsed/>
    <w:qFormat/>
    <w:rPr>
      <w:vertAlign w:val="superscript"/>
    </w:rPr>
  </w:style>
  <w:style w:type="character" w:styleId="1031">
    <w:name w:val="页码1"/>
    <w:next w:val="1031"/>
    <w:link w:val="879"/>
    <w:uiPriority w:val="99"/>
    <w:unhideWhenUsed/>
    <w:qFormat/>
  </w:style>
  <w:style w:type="character" w:styleId="1032">
    <w:name w:val="默认段落字体1"/>
    <w:next w:val="1032"/>
    <w:link w:val="879"/>
    <w:uiPriority w:val="1"/>
    <w:unhideWhenUsed/>
    <w:qFormat/>
  </w:style>
  <w:style w:type="paragraph" w:styleId="1033">
    <w:name w:val="无间隔"/>
    <w:next w:val="1033"/>
    <w:link w:val="879"/>
    <w:uiPriority w:val="1"/>
    <w:qFormat/>
    <w:rPr>
      <w:rFonts w:ascii="Times New Roman" w:hAnsi="Times New Roman" w:eastAsia="宋体" w:cs="Times New Roman"/>
      <w:lang w:val="en-US" w:eastAsia="zh-CN" w:bidi="ar-SA"/>
    </w:rPr>
  </w:style>
  <w:style w:type="paragraph" w:styleId="1034">
    <w:name w:val="引用"/>
    <w:basedOn w:val="879"/>
    <w:next w:val="879"/>
    <w:link w:val="1035"/>
    <w:uiPriority w:val="29"/>
    <w:qFormat/>
    <w:pPr>
      <w:ind w:left="720" w:right="720"/>
    </w:pPr>
    <w:rPr>
      <w:i/>
    </w:rPr>
  </w:style>
  <w:style w:type="character" w:styleId="1035">
    <w:name w:val="引用 字符"/>
    <w:next w:val="1035"/>
    <w:link w:val="1034"/>
    <w:uiPriority w:val="29"/>
    <w:qFormat/>
    <w:rPr>
      <w:i/>
    </w:rPr>
  </w:style>
  <w:style w:type="paragraph" w:styleId="1036">
    <w:name w:val="明显引用"/>
    <w:basedOn w:val="879"/>
    <w:next w:val="879"/>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name w:val="明显引用 字符"/>
    <w:next w:val="1037"/>
    <w:link w:val="1036"/>
    <w:uiPriority w:val="30"/>
    <w:qFormat/>
    <w:rPr>
      <w:i/>
    </w:rPr>
  </w:style>
  <w:style w:type="table" w:styleId="1038">
    <w:name w:val="Table Grid Light"/>
    <w:next w:val="1038"/>
    <w:link w:val="879"/>
    <w:uiPriority w:val="59"/>
    <w:qFormat/>
    <w:rPr>
      <w:lang w:val="en-US" w:eastAsia="zh-CN" w:bidi="ar-SA"/>
    </w:rPr>
    <w:tblPr/>
  </w:style>
  <w:style w:type="table" w:styleId="1039">
    <w:name w:val="Plain Table 1"/>
    <w:next w:val="1039"/>
    <w:link w:val="879"/>
    <w:uiPriority w:val="59"/>
    <w:qFormat/>
    <w:rPr>
      <w:lang w:val="en-US" w:eastAsia="zh-CN" w:bidi="ar-SA"/>
    </w:rPr>
    <w:tblPr/>
  </w:style>
  <w:style w:type="table" w:styleId="1040">
    <w:name w:val="Plain Table 2"/>
    <w:next w:val="1040"/>
    <w:link w:val="879"/>
    <w:uiPriority w:val="59"/>
    <w:qFormat/>
    <w:rPr>
      <w:lang w:val="en-US" w:eastAsia="zh-CN" w:bidi="ar-SA"/>
    </w:rPr>
    <w:tblPr/>
  </w:style>
  <w:style w:type="table" w:styleId="1041">
    <w:name w:val="Plain Table 3"/>
    <w:next w:val="1041"/>
    <w:link w:val="879"/>
    <w:uiPriority w:val="99"/>
    <w:qFormat/>
    <w:rPr>
      <w:lang w:val="en-US" w:eastAsia="zh-CN" w:bidi="ar-SA"/>
    </w:rPr>
    <w:tblPr/>
  </w:style>
  <w:style w:type="table" w:styleId="1042">
    <w:name w:val="Plain Table 4"/>
    <w:next w:val="1042"/>
    <w:link w:val="879"/>
    <w:uiPriority w:val="99"/>
    <w:qFormat/>
    <w:rPr>
      <w:lang w:val="en-US" w:eastAsia="zh-CN" w:bidi="ar-SA"/>
    </w:rPr>
    <w:tblPr/>
  </w:style>
  <w:style w:type="table" w:styleId="1043">
    <w:name w:val="Plain Table 5"/>
    <w:next w:val="1043"/>
    <w:link w:val="879"/>
    <w:uiPriority w:val="99"/>
    <w:qFormat/>
    <w:rPr>
      <w:lang w:val="en-US" w:eastAsia="zh-CN" w:bidi="ar-SA"/>
    </w:rPr>
    <w:tblPr/>
  </w:style>
  <w:style w:type="table" w:styleId="1044">
    <w:name w:val="Grid Table 1 Light"/>
    <w:next w:val="1044"/>
    <w:link w:val="879"/>
    <w:uiPriority w:val="99"/>
    <w:qFormat/>
    <w:rPr>
      <w:lang w:val="en-US" w:eastAsia="zh-CN" w:bidi="ar-SA"/>
    </w:rPr>
    <w:tblPr/>
  </w:style>
  <w:style w:type="table" w:styleId="1045">
    <w:name w:val="Grid Table 1 Light - Accent 1"/>
    <w:next w:val="1045"/>
    <w:link w:val="879"/>
    <w:uiPriority w:val="99"/>
    <w:qFormat/>
    <w:rPr>
      <w:lang w:val="en-US" w:eastAsia="zh-CN" w:bidi="ar-SA"/>
    </w:rPr>
    <w:tblPr/>
  </w:style>
  <w:style w:type="table" w:styleId="1046">
    <w:name w:val="Grid Table 1 Light - Accent 2"/>
    <w:next w:val="1046"/>
    <w:link w:val="879"/>
    <w:uiPriority w:val="99"/>
    <w:qFormat/>
    <w:rPr>
      <w:lang w:val="en-US" w:eastAsia="zh-CN" w:bidi="ar-SA"/>
    </w:rPr>
    <w:tblPr/>
  </w:style>
  <w:style w:type="table" w:styleId="1047">
    <w:name w:val="Grid Table 1 Light - Accent 3"/>
    <w:next w:val="1047"/>
    <w:link w:val="879"/>
    <w:uiPriority w:val="99"/>
    <w:qFormat/>
    <w:rPr>
      <w:lang w:val="en-US" w:eastAsia="zh-CN" w:bidi="ar-SA"/>
    </w:rPr>
    <w:tblPr/>
  </w:style>
  <w:style w:type="table" w:styleId="1048">
    <w:name w:val="Grid Table 1 Light - Accent 4"/>
    <w:next w:val="1048"/>
    <w:link w:val="879"/>
    <w:uiPriority w:val="99"/>
    <w:qFormat/>
    <w:rPr>
      <w:lang w:val="en-US" w:eastAsia="zh-CN" w:bidi="ar-SA"/>
    </w:rPr>
    <w:tblPr/>
  </w:style>
  <w:style w:type="table" w:styleId="1049">
    <w:name w:val="Grid Table 1 Light - Accent 5"/>
    <w:next w:val="1049"/>
    <w:link w:val="879"/>
    <w:uiPriority w:val="99"/>
    <w:qFormat/>
    <w:rPr>
      <w:lang w:val="en-US" w:eastAsia="zh-CN" w:bidi="ar-SA"/>
    </w:rPr>
    <w:tblPr/>
  </w:style>
  <w:style w:type="table" w:styleId="1050">
    <w:name w:val="Grid Table 1 Light - Accent 6"/>
    <w:next w:val="1050"/>
    <w:link w:val="879"/>
    <w:uiPriority w:val="99"/>
    <w:qFormat/>
    <w:rPr>
      <w:lang w:val="en-US" w:eastAsia="zh-CN" w:bidi="ar-SA"/>
    </w:rPr>
    <w:tblPr/>
  </w:style>
  <w:style w:type="table" w:styleId="1051">
    <w:name w:val="Grid Table 2"/>
    <w:next w:val="1051"/>
    <w:link w:val="879"/>
    <w:uiPriority w:val="99"/>
    <w:qFormat/>
    <w:rPr>
      <w:lang w:val="en-US" w:eastAsia="zh-CN" w:bidi="ar-SA"/>
    </w:rPr>
    <w:tblPr/>
  </w:style>
  <w:style w:type="table" w:styleId="1052">
    <w:name w:val="Grid Table 2 - Accent 1"/>
    <w:next w:val="1052"/>
    <w:link w:val="879"/>
    <w:uiPriority w:val="99"/>
    <w:qFormat/>
    <w:rPr>
      <w:lang w:val="en-US" w:eastAsia="zh-CN" w:bidi="ar-SA"/>
    </w:rPr>
    <w:tblPr/>
  </w:style>
  <w:style w:type="table" w:styleId="1053">
    <w:name w:val="Grid Table 2 - Accent 2"/>
    <w:next w:val="1053"/>
    <w:link w:val="879"/>
    <w:uiPriority w:val="99"/>
    <w:qFormat/>
    <w:rPr>
      <w:lang w:val="en-US" w:eastAsia="zh-CN" w:bidi="ar-SA"/>
    </w:rPr>
    <w:tblPr/>
  </w:style>
  <w:style w:type="table" w:styleId="1054">
    <w:name w:val="Grid Table 2 - Accent 3"/>
    <w:next w:val="1054"/>
    <w:link w:val="879"/>
    <w:uiPriority w:val="99"/>
    <w:qFormat/>
    <w:rPr>
      <w:lang w:val="en-US" w:eastAsia="zh-CN" w:bidi="ar-SA"/>
    </w:rPr>
    <w:tblPr/>
  </w:style>
  <w:style w:type="table" w:styleId="1055">
    <w:name w:val="Grid Table 2 - Accent 4"/>
    <w:next w:val="1055"/>
    <w:link w:val="879"/>
    <w:uiPriority w:val="99"/>
    <w:qFormat/>
    <w:rPr>
      <w:lang w:val="en-US" w:eastAsia="zh-CN" w:bidi="ar-SA"/>
    </w:rPr>
    <w:tblPr/>
  </w:style>
  <w:style w:type="table" w:styleId="1056">
    <w:name w:val="Grid Table 2 - Accent 5"/>
    <w:next w:val="1056"/>
    <w:link w:val="879"/>
    <w:uiPriority w:val="99"/>
    <w:qFormat/>
    <w:rPr>
      <w:lang w:val="en-US" w:eastAsia="zh-CN" w:bidi="ar-SA"/>
    </w:rPr>
    <w:tblPr/>
  </w:style>
  <w:style w:type="table" w:styleId="1057">
    <w:name w:val="Grid Table 2 - Accent 6"/>
    <w:next w:val="1057"/>
    <w:link w:val="879"/>
    <w:uiPriority w:val="99"/>
    <w:qFormat/>
    <w:rPr>
      <w:lang w:val="en-US" w:eastAsia="zh-CN" w:bidi="ar-SA"/>
    </w:rPr>
    <w:tblPr/>
  </w:style>
  <w:style w:type="table" w:styleId="1058">
    <w:name w:val="Grid Table 3"/>
    <w:next w:val="1058"/>
    <w:link w:val="879"/>
    <w:uiPriority w:val="99"/>
    <w:qFormat/>
    <w:rPr>
      <w:lang w:val="en-US" w:eastAsia="zh-CN" w:bidi="ar-SA"/>
    </w:rPr>
    <w:tblPr/>
  </w:style>
  <w:style w:type="table" w:styleId="1059">
    <w:name w:val="Grid Table 3 - Accent 1"/>
    <w:next w:val="1059"/>
    <w:link w:val="879"/>
    <w:uiPriority w:val="99"/>
    <w:qFormat/>
    <w:rPr>
      <w:lang w:val="en-US" w:eastAsia="zh-CN" w:bidi="ar-SA"/>
    </w:rPr>
    <w:tblPr/>
  </w:style>
  <w:style w:type="table" w:styleId="1060">
    <w:name w:val="Grid Table 3 - Accent 2"/>
    <w:next w:val="1060"/>
    <w:link w:val="879"/>
    <w:uiPriority w:val="99"/>
    <w:qFormat/>
    <w:rPr>
      <w:lang w:val="en-US" w:eastAsia="zh-CN" w:bidi="ar-SA"/>
    </w:rPr>
    <w:tblPr/>
  </w:style>
  <w:style w:type="table" w:styleId="1061">
    <w:name w:val="Grid Table 3 - Accent 3"/>
    <w:next w:val="1061"/>
    <w:link w:val="879"/>
    <w:uiPriority w:val="99"/>
    <w:qFormat/>
    <w:rPr>
      <w:lang w:val="en-US" w:eastAsia="zh-CN" w:bidi="ar-SA"/>
    </w:rPr>
    <w:tblPr/>
  </w:style>
  <w:style w:type="table" w:styleId="1062">
    <w:name w:val="Grid Table 3 - Accent 4"/>
    <w:next w:val="1062"/>
    <w:link w:val="879"/>
    <w:uiPriority w:val="99"/>
    <w:qFormat/>
    <w:rPr>
      <w:lang w:val="en-US" w:eastAsia="zh-CN" w:bidi="ar-SA"/>
    </w:rPr>
    <w:tblPr/>
  </w:style>
  <w:style w:type="table" w:styleId="1063">
    <w:name w:val="Grid Table 3 - Accent 5"/>
    <w:next w:val="1063"/>
    <w:link w:val="879"/>
    <w:uiPriority w:val="99"/>
    <w:qFormat/>
    <w:rPr>
      <w:lang w:val="en-US" w:eastAsia="zh-CN" w:bidi="ar-SA"/>
    </w:rPr>
    <w:tblPr/>
  </w:style>
  <w:style w:type="table" w:styleId="1064">
    <w:name w:val="Grid Table 3 - Accent 6"/>
    <w:next w:val="1064"/>
    <w:link w:val="879"/>
    <w:uiPriority w:val="99"/>
    <w:qFormat/>
    <w:rPr>
      <w:lang w:val="en-US" w:eastAsia="zh-CN" w:bidi="ar-SA"/>
    </w:rPr>
    <w:tblPr/>
  </w:style>
  <w:style w:type="table" w:styleId="1065">
    <w:name w:val="Grid Table 4"/>
    <w:next w:val="1065"/>
    <w:link w:val="879"/>
    <w:uiPriority w:val="59"/>
    <w:qFormat/>
    <w:rPr>
      <w:lang w:val="en-US" w:eastAsia="zh-CN" w:bidi="ar-SA"/>
    </w:rPr>
    <w:tblPr/>
  </w:style>
  <w:style w:type="table" w:styleId="1066">
    <w:name w:val="Grid Table 4 - Accent 1"/>
    <w:next w:val="1066"/>
    <w:link w:val="879"/>
    <w:uiPriority w:val="59"/>
    <w:qFormat/>
    <w:rPr>
      <w:lang w:val="en-US" w:eastAsia="zh-CN" w:bidi="ar-SA"/>
    </w:rPr>
    <w:tblPr/>
  </w:style>
  <w:style w:type="table" w:styleId="1067">
    <w:name w:val="Grid Table 4 - Accent 2"/>
    <w:next w:val="1067"/>
    <w:link w:val="879"/>
    <w:uiPriority w:val="59"/>
    <w:qFormat/>
    <w:rPr>
      <w:lang w:val="en-US" w:eastAsia="zh-CN" w:bidi="ar-SA"/>
    </w:rPr>
    <w:tblPr/>
  </w:style>
  <w:style w:type="table" w:styleId="1068">
    <w:name w:val="Grid Table 4 - Accent 3"/>
    <w:next w:val="1068"/>
    <w:link w:val="879"/>
    <w:uiPriority w:val="59"/>
    <w:qFormat/>
    <w:rPr>
      <w:lang w:val="en-US" w:eastAsia="zh-CN" w:bidi="ar-SA"/>
    </w:rPr>
    <w:tblPr/>
  </w:style>
  <w:style w:type="table" w:styleId="1069">
    <w:name w:val="Grid Table 4 - Accent 4"/>
    <w:next w:val="1069"/>
    <w:link w:val="879"/>
    <w:uiPriority w:val="59"/>
    <w:qFormat/>
    <w:rPr>
      <w:lang w:val="en-US" w:eastAsia="zh-CN" w:bidi="ar-SA"/>
    </w:rPr>
    <w:tblPr/>
  </w:style>
  <w:style w:type="table" w:styleId="1070">
    <w:name w:val="Grid Table 4 - Accent 5"/>
    <w:next w:val="1070"/>
    <w:link w:val="879"/>
    <w:uiPriority w:val="59"/>
    <w:qFormat/>
    <w:rPr>
      <w:lang w:val="en-US" w:eastAsia="zh-CN" w:bidi="ar-SA"/>
    </w:rPr>
    <w:tblPr/>
  </w:style>
  <w:style w:type="table" w:styleId="1071">
    <w:name w:val="Grid Table 4 - Accent 6"/>
    <w:next w:val="1071"/>
    <w:link w:val="879"/>
    <w:uiPriority w:val="59"/>
    <w:qFormat/>
    <w:rPr>
      <w:lang w:val="en-US" w:eastAsia="zh-CN" w:bidi="ar-SA"/>
    </w:rPr>
    <w:tblPr/>
  </w:style>
  <w:style w:type="table" w:styleId="1072">
    <w:name w:val="Grid Table 5 Dark"/>
    <w:next w:val="1072"/>
    <w:link w:val="879"/>
    <w:uiPriority w:val="99"/>
    <w:qFormat/>
    <w:rPr>
      <w:lang w:val="en-US" w:eastAsia="zh-CN" w:bidi="ar-SA"/>
    </w:rPr>
    <w:tblPr/>
  </w:style>
  <w:style w:type="table" w:styleId="1073">
    <w:name w:val="Grid Table 5 Dark- Accent 1"/>
    <w:next w:val="1073"/>
    <w:link w:val="879"/>
    <w:uiPriority w:val="99"/>
    <w:qFormat/>
    <w:rPr>
      <w:lang w:val="en-US" w:eastAsia="zh-CN" w:bidi="ar-SA"/>
    </w:rPr>
    <w:tblPr/>
  </w:style>
  <w:style w:type="table" w:styleId="1074">
    <w:name w:val="Grid Table 5 Dark - Accent 2"/>
    <w:next w:val="1074"/>
    <w:link w:val="879"/>
    <w:uiPriority w:val="99"/>
    <w:qFormat/>
    <w:rPr>
      <w:lang w:val="en-US" w:eastAsia="zh-CN" w:bidi="ar-SA"/>
    </w:rPr>
    <w:tblPr/>
  </w:style>
  <w:style w:type="table" w:styleId="1075">
    <w:name w:val="Grid Table 5 Dark - Accent 3"/>
    <w:next w:val="1075"/>
    <w:link w:val="879"/>
    <w:uiPriority w:val="99"/>
    <w:qFormat/>
    <w:rPr>
      <w:lang w:val="en-US" w:eastAsia="zh-CN" w:bidi="ar-SA"/>
    </w:rPr>
    <w:tblPr/>
  </w:style>
  <w:style w:type="table" w:styleId="1076">
    <w:name w:val="Grid Table 5 Dark- Accent 4"/>
    <w:next w:val="1076"/>
    <w:link w:val="879"/>
    <w:uiPriority w:val="99"/>
    <w:qFormat/>
    <w:rPr>
      <w:lang w:val="en-US" w:eastAsia="zh-CN" w:bidi="ar-SA"/>
    </w:rPr>
    <w:tblPr/>
  </w:style>
  <w:style w:type="table" w:styleId="1077">
    <w:name w:val="Grid Table 5 Dark - Accent 5"/>
    <w:next w:val="1077"/>
    <w:link w:val="879"/>
    <w:uiPriority w:val="99"/>
    <w:qFormat/>
    <w:rPr>
      <w:lang w:val="en-US" w:eastAsia="zh-CN" w:bidi="ar-SA"/>
    </w:rPr>
    <w:tblPr/>
  </w:style>
  <w:style w:type="table" w:styleId="1078">
    <w:name w:val="Grid Table 5 Dark - Accent 6"/>
    <w:next w:val="1078"/>
    <w:link w:val="879"/>
    <w:uiPriority w:val="99"/>
    <w:qFormat/>
    <w:rPr>
      <w:lang w:val="en-US" w:eastAsia="zh-CN" w:bidi="ar-SA"/>
    </w:rPr>
    <w:tblPr/>
  </w:style>
  <w:style w:type="table" w:styleId="1079">
    <w:name w:val="Grid Table 6 Colorful"/>
    <w:next w:val="1079"/>
    <w:link w:val="879"/>
    <w:uiPriority w:val="99"/>
    <w:qFormat/>
    <w:rPr>
      <w:lang w:val="en-US" w:eastAsia="zh-CN" w:bidi="ar-SA"/>
    </w:rPr>
    <w:tblPr/>
  </w:style>
  <w:style w:type="table" w:styleId="1080">
    <w:name w:val="Grid Table 6 Colorful - Accent 1"/>
    <w:next w:val="1080"/>
    <w:link w:val="879"/>
    <w:uiPriority w:val="99"/>
    <w:qFormat/>
    <w:rPr>
      <w:lang w:val="en-US" w:eastAsia="zh-CN" w:bidi="ar-SA"/>
    </w:rPr>
    <w:tblPr/>
  </w:style>
  <w:style w:type="table" w:styleId="1081">
    <w:name w:val="Grid Table 6 Colorful - Accent 2"/>
    <w:next w:val="1081"/>
    <w:link w:val="879"/>
    <w:uiPriority w:val="99"/>
    <w:qFormat/>
    <w:rPr>
      <w:lang w:val="en-US" w:eastAsia="zh-CN" w:bidi="ar-SA"/>
    </w:rPr>
    <w:tblPr/>
  </w:style>
  <w:style w:type="table" w:styleId="1082">
    <w:name w:val="Grid Table 6 Colorful - Accent 3"/>
    <w:next w:val="1082"/>
    <w:link w:val="879"/>
    <w:uiPriority w:val="99"/>
    <w:qFormat/>
    <w:rPr>
      <w:lang w:val="en-US" w:eastAsia="zh-CN" w:bidi="ar-SA"/>
    </w:rPr>
    <w:tblPr/>
  </w:style>
  <w:style w:type="table" w:styleId="1083">
    <w:name w:val="Grid Table 6 Colorful - Accent 4"/>
    <w:next w:val="1083"/>
    <w:link w:val="879"/>
    <w:uiPriority w:val="99"/>
    <w:qFormat/>
    <w:rPr>
      <w:lang w:val="en-US" w:eastAsia="zh-CN" w:bidi="ar-SA"/>
    </w:rPr>
    <w:tblPr/>
  </w:style>
  <w:style w:type="table" w:styleId="1084">
    <w:name w:val="Grid Table 6 Colorful - Accent 5"/>
    <w:next w:val="1084"/>
    <w:link w:val="879"/>
    <w:uiPriority w:val="99"/>
    <w:qFormat/>
    <w:rPr>
      <w:lang w:val="en-US" w:eastAsia="zh-CN" w:bidi="ar-SA"/>
    </w:rPr>
    <w:tblPr/>
  </w:style>
  <w:style w:type="table" w:styleId="1085">
    <w:name w:val="Grid Table 6 Colorful - Accent 6"/>
    <w:next w:val="1085"/>
    <w:link w:val="879"/>
    <w:uiPriority w:val="99"/>
    <w:qFormat/>
    <w:rPr>
      <w:lang w:val="en-US" w:eastAsia="zh-CN" w:bidi="ar-SA"/>
    </w:rPr>
    <w:tblPr/>
  </w:style>
  <w:style w:type="table" w:styleId="1086">
    <w:name w:val="Grid Table 7 Colorful"/>
    <w:next w:val="1086"/>
    <w:link w:val="879"/>
    <w:uiPriority w:val="99"/>
    <w:qFormat/>
    <w:rPr>
      <w:lang w:val="en-US" w:eastAsia="zh-CN" w:bidi="ar-SA"/>
    </w:rPr>
    <w:tblPr/>
  </w:style>
  <w:style w:type="table" w:styleId="1087">
    <w:name w:val="Grid Table 7 Colorful - Accent 1"/>
    <w:next w:val="1087"/>
    <w:link w:val="879"/>
    <w:uiPriority w:val="99"/>
    <w:qFormat/>
    <w:rPr>
      <w:lang w:val="en-US" w:eastAsia="zh-CN" w:bidi="ar-SA"/>
    </w:rPr>
    <w:tblPr/>
  </w:style>
  <w:style w:type="table" w:styleId="1088">
    <w:name w:val="Grid Table 7 Colorful - Accent 2"/>
    <w:next w:val="1088"/>
    <w:link w:val="879"/>
    <w:uiPriority w:val="99"/>
    <w:qFormat/>
    <w:rPr>
      <w:lang w:val="en-US" w:eastAsia="zh-CN" w:bidi="ar-SA"/>
    </w:rPr>
    <w:tblPr/>
  </w:style>
  <w:style w:type="table" w:styleId="1089">
    <w:name w:val="Grid Table 7 Colorful - Accent 3"/>
    <w:next w:val="1089"/>
    <w:link w:val="879"/>
    <w:uiPriority w:val="99"/>
    <w:qFormat/>
    <w:rPr>
      <w:lang w:val="en-US" w:eastAsia="zh-CN" w:bidi="ar-SA"/>
    </w:rPr>
    <w:tblPr/>
  </w:style>
  <w:style w:type="table" w:styleId="1090">
    <w:name w:val="Grid Table 7 Colorful - Accent 4"/>
    <w:next w:val="1090"/>
    <w:link w:val="879"/>
    <w:uiPriority w:val="99"/>
    <w:qFormat/>
    <w:rPr>
      <w:lang w:val="en-US" w:eastAsia="zh-CN" w:bidi="ar-SA"/>
    </w:rPr>
    <w:tblPr/>
  </w:style>
  <w:style w:type="table" w:styleId="1091">
    <w:name w:val="Grid Table 7 Colorful - Accent 5"/>
    <w:next w:val="1091"/>
    <w:link w:val="879"/>
    <w:uiPriority w:val="99"/>
    <w:qFormat/>
    <w:rPr>
      <w:lang w:val="en-US" w:eastAsia="zh-CN" w:bidi="ar-SA"/>
    </w:rPr>
    <w:tblPr/>
  </w:style>
  <w:style w:type="table" w:styleId="1092">
    <w:name w:val="Grid Table 7 Colorful - Accent 6"/>
    <w:next w:val="1092"/>
    <w:link w:val="879"/>
    <w:uiPriority w:val="99"/>
    <w:qFormat/>
    <w:rPr>
      <w:lang w:val="en-US" w:eastAsia="zh-CN" w:bidi="ar-SA"/>
    </w:rPr>
    <w:tblPr/>
  </w:style>
  <w:style w:type="table" w:styleId="1093">
    <w:name w:val="List Table 1 Light"/>
    <w:next w:val="1093"/>
    <w:link w:val="879"/>
    <w:uiPriority w:val="99"/>
    <w:qFormat/>
    <w:rPr>
      <w:lang w:val="en-US" w:eastAsia="zh-CN" w:bidi="ar-SA"/>
    </w:rPr>
    <w:tblPr/>
  </w:style>
  <w:style w:type="table" w:styleId="1094">
    <w:name w:val="List Table 1 Light - Accent 1"/>
    <w:next w:val="1094"/>
    <w:link w:val="879"/>
    <w:uiPriority w:val="99"/>
    <w:qFormat/>
    <w:rPr>
      <w:lang w:val="en-US" w:eastAsia="zh-CN" w:bidi="ar-SA"/>
    </w:rPr>
    <w:tblPr/>
  </w:style>
  <w:style w:type="table" w:styleId="1095">
    <w:name w:val="List Table 1 Light - Accent 2"/>
    <w:next w:val="1095"/>
    <w:link w:val="879"/>
    <w:uiPriority w:val="99"/>
    <w:qFormat/>
    <w:rPr>
      <w:lang w:val="en-US" w:eastAsia="zh-CN" w:bidi="ar-SA"/>
    </w:rPr>
    <w:tblPr/>
  </w:style>
  <w:style w:type="table" w:styleId="1096">
    <w:name w:val="List Table 1 Light - Accent 3"/>
    <w:next w:val="1096"/>
    <w:link w:val="879"/>
    <w:uiPriority w:val="99"/>
    <w:qFormat/>
    <w:rPr>
      <w:lang w:val="en-US" w:eastAsia="zh-CN" w:bidi="ar-SA"/>
    </w:rPr>
    <w:tblPr/>
  </w:style>
  <w:style w:type="table" w:styleId="1097">
    <w:name w:val="List Table 1 Light - Accent 4"/>
    <w:next w:val="1097"/>
    <w:link w:val="879"/>
    <w:uiPriority w:val="99"/>
    <w:qFormat/>
    <w:rPr>
      <w:lang w:val="en-US" w:eastAsia="zh-CN" w:bidi="ar-SA"/>
    </w:rPr>
    <w:tblPr/>
  </w:style>
  <w:style w:type="table" w:styleId="1098">
    <w:name w:val="List Table 1 Light - Accent 5"/>
    <w:next w:val="1098"/>
    <w:link w:val="879"/>
    <w:uiPriority w:val="99"/>
    <w:qFormat/>
    <w:rPr>
      <w:lang w:val="en-US" w:eastAsia="zh-CN" w:bidi="ar-SA"/>
    </w:rPr>
    <w:tblPr/>
  </w:style>
  <w:style w:type="table" w:styleId="1099">
    <w:name w:val="List Table 1 Light - Accent 6"/>
    <w:next w:val="1099"/>
    <w:link w:val="879"/>
    <w:uiPriority w:val="99"/>
    <w:qFormat/>
    <w:rPr>
      <w:lang w:val="en-US" w:eastAsia="zh-CN" w:bidi="ar-SA"/>
    </w:rPr>
    <w:tblPr/>
  </w:style>
  <w:style w:type="table" w:styleId="1100">
    <w:name w:val="List Table 2"/>
    <w:next w:val="1100"/>
    <w:link w:val="879"/>
    <w:uiPriority w:val="99"/>
    <w:qFormat/>
    <w:rPr>
      <w:lang w:val="en-US" w:eastAsia="zh-CN" w:bidi="ar-SA"/>
    </w:rPr>
    <w:tblPr/>
  </w:style>
  <w:style w:type="table" w:styleId="1101">
    <w:name w:val="List Table 2 - Accent 1"/>
    <w:next w:val="1101"/>
    <w:link w:val="879"/>
    <w:uiPriority w:val="99"/>
    <w:qFormat/>
    <w:rPr>
      <w:lang w:val="en-US" w:eastAsia="zh-CN" w:bidi="ar-SA"/>
    </w:rPr>
    <w:tblPr/>
  </w:style>
  <w:style w:type="table" w:styleId="1102">
    <w:name w:val="List Table 2 - Accent 2"/>
    <w:next w:val="1102"/>
    <w:link w:val="879"/>
    <w:uiPriority w:val="99"/>
    <w:qFormat/>
    <w:rPr>
      <w:lang w:val="en-US" w:eastAsia="zh-CN" w:bidi="ar-SA"/>
    </w:rPr>
    <w:tblPr/>
  </w:style>
  <w:style w:type="table" w:styleId="1103">
    <w:name w:val="List Table 2 - Accent 3"/>
    <w:next w:val="1103"/>
    <w:link w:val="879"/>
    <w:uiPriority w:val="99"/>
    <w:qFormat/>
    <w:rPr>
      <w:lang w:val="en-US" w:eastAsia="zh-CN" w:bidi="ar-SA"/>
    </w:rPr>
    <w:tblPr/>
  </w:style>
  <w:style w:type="table" w:styleId="1104">
    <w:name w:val="List Table 2 - Accent 4"/>
    <w:next w:val="1104"/>
    <w:link w:val="879"/>
    <w:uiPriority w:val="99"/>
    <w:qFormat/>
    <w:rPr>
      <w:lang w:val="en-US" w:eastAsia="zh-CN" w:bidi="ar-SA"/>
    </w:rPr>
    <w:tblPr/>
  </w:style>
  <w:style w:type="table" w:styleId="1105">
    <w:name w:val="List Table 2 - Accent 5"/>
    <w:next w:val="1105"/>
    <w:link w:val="879"/>
    <w:uiPriority w:val="99"/>
    <w:qFormat/>
    <w:rPr>
      <w:lang w:val="en-US" w:eastAsia="zh-CN" w:bidi="ar-SA"/>
    </w:rPr>
    <w:tblPr/>
  </w:style>
  <w:style w:type="table" w:styleId="1106">
    <w:name w:val="List Table 2 - Accent 6"/>
    <w:next w:val="1106"/>
    <w:link w:val="879"/>
    <w:uiPriority w:val="99"/>
    <w:qFormat/>
    <w:rPr>
      <w:lang w:val="en-US" w:eastAsia="zh-CN" w:bidi="ar-SA"/>
    </w:rPr>
    <w:tblPr/>
  </w:style>
  <w:style w:type="table" w:styleId="1107">
    <w:name w:val="List Table 3"/>
    <w:next w:val="1107"/>
    <w:link w:val="879"/>
    <w:uiPriority w:val="99"/>
    <w:qFormat/>
    <w:rPr>
      <w:lang w:val="en-US" w:eastAsia="zh-CN" w:bidi="ar-SA"/>
    </w:rPr>
    <w:tblPr/>
  </w:style>
  <w:style w:type="table" w:styleId="1108">
    <w:name w:val="List Table 3 - Accent 1"/>
    <w:next w:val="1108"/>
    <w:link w:val="879"/>
    <w:uiPriority w:val="99"/>
    <w:qFormat/>
    <w:rPr>
      <w:lang w:val="en-US" w:eastAsia="zh-CN" w:bidi="ar-SA"/>
    </w:rPr>
    <w:tblPr/>
  </w:style>
  <w:style w:type="table" w:styleId="1109">
    <w:name w:val="List Table 3 - Accent 2"/>
    <w:next w:val="1109"/>
    <w:link w:val="879"/>
    <w:uiPriority w:val="99"/>
    <w:qFormat/>
    <w:rPr>
      <w:lang w:val="en-US" w:eastAsia="zh-CN" w:bidi="ar-SA"/>
    </w:rPr>
    <w:tblPr/>
  </w:style>
  <w:style w:type="table" w:styleId="1110">
    <w:name w:val="List Table 3 - Accent 3"/>
    <w:next w:val="1110"/>
    <w:link w:val="879"/>
    <w:uiPriority w:val="99"/>
    <w:qFormat/>
    <w:rPr>
      <w:lang w:val="en-US" w:eastAsia="zh-CN" w:bidi="ar-SA"/>
    </w:rPr>
    <w:tblPr/>
  </w:style>
  <w:style w:type="table" w:styleId="1111">
    <w:name w:val="List Table 3 - Accent 4"/>
    <w:next w:val="1111"/>
    <w:link w:val="879"/>
    <w:uiPriority w:val="99"/>
    <w:qFormat/>
    <w:rPr>
      <w:lang w:val="en-US" w:eastAsia="zh-CN" w:bidi="ar-SA"/>
    </w:rPr>
    <w:tblPr/>
  </w:style>
  <w:style w:type="table" w:styleId="1112">
    <w:name w:val="List Table 3 - Accent 5"/>
    <w:next w:val="1112"/>
    <w:link w:val="879"/>
    <w:uiPriority w:val="99"/>
    <w:qFormat/>
    <w:rPr>
      <w:lang w:val="en-US" w:eastAsia="zh-CN" w:bidi="ar-SA"/>
    </w:rPr>
    <w:tblPr/>
  </w:style>
  <w:style w:type="table" w:styleId="1113">
    <w:name w:val="List Table 3 - Accent 6"/>
    <w:next w:val="1113"/>
    <w:link w:val="879"/>
    <w:uiPriority w:val="99"/>
    <w:rPr>
      <w:lang w:val="en-US" w:eastAsia="zh-CN" w:bidi="ar-SA"/>
    </w:rPr>
    <w:tblPr/>
  </w:style>
  <w:style w:type="table" w:styleId="1114">
    <w:name w:val="List Table 4"/>
    <w:next w:val="1114"/>
    <w:link w:val="879"/>
    <w:uiPriority w:val="99"/>
    <w:rPr>
      <w:lang w:val="en-US" w:eastAsia="zh-CN" w:bidi="ar-SA"/>
    </w:rPr>
    <w:tblPr/>
  </w:style>
  <w:style w:type="table" w:styleId="1115">
    <w:name w:val="List Table 4 - Accent 1"/>
    <w:next w:val="1115"/>
    <w:link w:val="879"/>
    <w:uiPriority w:val="99"/>
    <w:rPr>
      <w:lang w:val="en-US" w:eastAsia="zh-CN" w:bidi="ar-SA"/>
    </w:rPr>
    <w:tblPr/>
  </w:style>
  <w:style w:type="table" w:styleId="1116">
    <w:name w:val="List Table 4 - Accent 2"/>
    <w:next w:val="1116"/>
    <w:link w:val="879"/>
    <w:uiPriority w:val="99"/>
    <w:qFormat/>
    <w:rPr>
      <w:lang w:val="en-US" w:eastAsia="zh-CN" w:bidi="ar-SA"/>
    </w:rPr>
    <w:tblPr/>
  </w:style>
  <w:style w:type="table" w:styleId="1117">
    <w:name w:val="List Table 4 - Accent 3"/>
    <w:next w:val="1117"/>
    <w:link w:val="879"/>
    <w:uiPriority w:val="99"/>
    <w:qFormat/>
    <w:rPr>
      <w:lang w:val="en-US" w:eastAsia="zh-CN" w:bidi="ar-SA"/>
    </w:rPr>
    <w:tblPr/>
  </w:style>
  <w:style w:type="table" w:styleId="1118">
    <w:name w:val="List Table 4 - Accent 4"/>
    <w:next w:val="1118"/>
    <w:link w:val="879"/>
    <w:uiPriority w:val="99"/>
    <w:qFormat/>
    <w:rPr>
      <w:lang w:val="en-US" w:eastAsia="zh-CN" w:bidi="ar-SA"/>
    </w:rPr>
    <w:tblPr/>
  </w:style>
  <w:style w:type="table" w:styleId="1119">
    <w:name w:val="List Table 4 - Accent 5"/>
    <w:next w:val="1119"/>
    <w:link w:val="879"/>
    <w:uiPriority w:val="99"/>
    <w:qFormat/>
    <w:rPr>
      <w:lang w:val="en-US" w:eastAsia="zh-CN" w:bidi="ar-SA"/>
    </w:rPr>
    <w:tblPr/>
  </w:style>
  <w:style w:type="table" w:styleId="1120">
    <w:name w:val="List Table 4 - Accent 6"/>
    <w:next w:val="1120"/>
    <w:link w:val="879"/>
    <w:uiPriority w:val="99"/>
    <w:rPr>
      <w:lang w:val="en-US" w:eastAsia="zh-CN" w:bidi="ar-SA"/>
    </w:rPr>
    <w:tblPr/>
  </w:style>
  <w:style w:type="table" w:styleId="1121">
    <w:name w:val="List Table 5 Dark"/>
    <w:next w:val="1121"/>
    <w:link w:val="879"/>
    <w:uiPriority w:val="99"/>
    <w:rPr>
      <w:lang w:val="en-US" w:eastAsia="zh-CN" w:bidi="ar-SA"/>
    </w:rPr>
    <w:tblPr/>
  </w:style>
  <w:style w:type="table" w:styleId="1122">
    <w:name w:val="List Table 5 Dark - Accent 1"/>
    <w:next w:val="1122"/>
    <w:link w:val="879"/>
    <w:uiPriority w:val="99"/>
    <w:rPr>
      <w:lang w:val="en-US" w:eastAsia="zh-CN" w:bidi="ar-SA"/>
    </w:rPr>
    <w:tblPr/>
  </w:style>
  <w:style w:type="table" w:styleId="1123">
    <w:name w:val="List Table 5 Dark - Accent 2"/>
    <w:next w:val="1123"/>
    <w:link w:val="879"/>
    <w:uiPriority w:val="99"/>
    <w:qFormat/>
    <w:rPr>
      <w:lang w:val="en-US" w:eastAsia="zh-CN" w:bidi="ar-SA"/>
    </w:rPr>
    <w:tblPr/>
  </w:style>
  <w:style w:type="table" w:styleId="1124">
    <w:name w:val="List Table 5 Dark - Accent 3"/>
    <w:next w:val="1124"/>
    <w:link w:val="879"/>
    <w:uiPriority w:val="99"/>
    <w:qFormat/>
    <w:rPr>
      <w:lang w:val="en-US" w:eastAsia="zh-CN" w:bidi="ar-SA"/>
    </w:rPr>
    <w:tblPr/>
  </w:style>
  <w:style w:type="table" w:styleId="1125">
    <w:name w:val="List Table 5 Dark - Accent 4"/>
    <w:next w:val="1125"/>
    <w:link w:val="879"/>
    <w:uiPriority w:val="99"/>
    <w:qFormat/>
    <w:rPr>
      <w:lang w:val="en-US" w:eastAsia="zh-CN" w:bidi="ar-SA"/>
    </w:rPr>
    <w:tblPr/>
  </w:style>
  <w:style w:type="table" w:styleId="1126">
    <w:name w:val="List Table 5 Dark - Accent 5"/>
    <w:next w:val="1126"/>
    <w:link w:val="879"/>
    <w:uiPriority w:val="99"/>
    <w:qFormat/>
    <w:rPr>
      <w:lang w:val="en-US" w:eastAsia="zh-CN" w:bidi="ar-SA"/>
    </w:rPr>
    <w:tblPr/>
  </w:style>
  <w:style w:type="table" w:styleId="1127">
    <w:name w:val="List Table 5 Dark - Accent 6"/>
    <w:next w:val="1127"/>
    <w:link w:val="879"/>
    <w:uiPriority w:val="99"/>
    <w:qFormat/>
    <w:rPr>
      <w:lang w:val="en-US" w:eastAsia="zh-CN" w:bidi="ar-SA"/>
    </w:rPr>
    <w:tblPr/>
  </w:style>
  <w:style w:type="table" w:styleId="1128">
    <w:name w:val="List Table 6 Colorful"/>
    <w:next w:val="1128"/>
    <w:link w:val="879"/>
    <w:uiPriority w:val="99"/>
    <w:qFormat/>
    <w:rPr>
      <w:lang w:val="en-US" w:eastAsia="zh-CN" w:bidi="ar-SA"/>
    </w:rPr>
    <w:tblPr/>
  </w:style>
  <w:style w:type="table" w:styleId="1129">
    <w:name w:val="List Table 6 Colorful - Accent 1"/>
    <w:next w:val="1129"/>
    <w:link w:val="879"/>
    <w:uiPriority w:val="99"/>
    <w:qFormat/>
    <w:rPr>
      <w:lang w:val="en-US" w:eastAsia="zh-CN" w:bidi="ar-SA"/>
    </w:rPr>
    <w:tblPr/>
  </w:style>
  <w:style w:type="table" w:styleId="1130">
    <w:name w:val="List Table 6 Colorful - Accent 2"/>
    <w:next w:val="1130"/>
    <w:link w:val="879"/>
    <w:uiPriority w:val="99"/>
    <w:qFormat/>
    <w:rPr>
      <w:lang w:val="en-US" w:eastAsia="zh-CN" w:bidi="ar-SA"/>
    </w:rPr>
    <w:tblPr/>
  </w:style>
  <w:style w:type="table" w:styleId="1131">
    <w:name w:val="List Table 6 Colorful - Accent 3"/>
    <w:next w:val="1131"/>
    <w:link w:val="879"/>
    <w:uiPriority w:val="99"/>
    <w:qFormat/>
    <w:rPr>
      <w:lang w:val="en-US" w:eastAsia="zh-CN" w:bidi="ar-SA"/>
    </w:rPr>
    <w:tblPr/>
  </w:style>
  <w:style w:type="table" w:styleId="1132">
    <w:name w:val="List Table 6 Colorful - Accent 4"/>
    <w:next w:val="1132"/>
    <w:link w:val="879"/>
    <w:uiPriority w:val="99"/>
    <w:qFormat/>
    <w:rPr>
      <w:lang w:val="en-US" w:eastAsia="zh-CN" w:bidi="ar-SA"/>
    </w:rPr>
    <w:tblPr/>
  </w:style>
  <w:style w:type="table" w:styleId="1133">
    <w:name w:val="List Table 6 Colorful - Accent 5"/>
    <w:next w:val="1133"/>
    <w:link w:val="879"/>
    <w:uiPriority w:val="99"/>
    <w:qFormat/>
    <w:rPr>
      <w:lang w:val="en-US" w:eastAsia="zh-CN" w:bidi="ar-SA"/>
    </w:rPr>
    <w:tblPr/>
  </w:style>
  <w:style w:type="table" w:styleId="1134">
    <w:name w:val="List Table 6 Colorful - Accent 6"/>
    <w:next w:val="1134"/>
    <w:link w:val="879"/>
    <w:uiPriority w:val="99"/>
    <w:qFormat/>
    <w:rPr>
      <w:lang w:val="en-US" w:eastAsia="zh-CN" w:bidi="ar-SA"/>
    </w:rPr>
    <w:tblPr/>
  </w:style>
  <w:style w:type="table" w:styleId="1135">
    <w:name w:val="List Table 7 Colorful"/>
    <w:next w:val="1135"/>
    <w:link w:val="879"/>
    <w:uiPriority w:val="99"/>
    <w:qFormat/>
    <w:rPr>
      <w:lang w:val="en-US" w:eastAsia="zh-CN" w:bidi="ar-SA"/>
    </w:rPr>
    <w:tblPr/>
  </w:style>
  <w:style w:type="table" w:styleId="1136">
    <w:name w:val="List Table 7 Colorful - Accent 1"/>
    <w:next w:val="1136"/>
    <w:link w:val="879"/>
    <w:uiPriority w:val="99"/>
    <w:qFormat/>
    <w:rPr>
      <w:lang w:val="en-US" w:eastAsia="zh-CN" w:bidi="ar-SA"/>
    </w:rPr>
    <w:tblPr/>
  </w:style>
  <w:style w:type="table" w:styleId="1137">
    <w:name w:val="List Table 7 Colorful - Accent 2"/>
    <w:next w:val="1137"/>
    <w:link w:val="879"/>
    <w:uiPriority w:val="99"/>
    <w:qFormat/>
    <w:rPr>
      <w:lang w:val="en-US" w:eastAsia="zh-CN" w:bidi="ar-SA"/>
    </w:rPr>
    <w:tblPr/>
  </w:style>
  <w:style w:type="table" w:styleId="1138">
    <w:name w:val="List Table 7 Colorful - Accent 3"/>
    <w:next w:val="1138"/>
    <w:link w:val="879"/>
    <w:uiPriority w:val="99"/>
    <w:qFormat/>
    <w:rPr>
      <w:lang w:val="en-US" w:eastAsia="zh-CN" w:bidi="ar-SA"/>
    </w:rPr>
    <w:tblPr/>
  </w:style>
  <w:style w:type="table" w:styleId="1139">
    <w:name w:val="List Table 7 Colorful - Accent 4"/>
    <w:next w:val="1139"/>
    <w:link w:val="879"/>
    <w:uiPriority w:val="99"/>
    <w:qFormat/>
    <w:rPr>
      <w:lang w:val="en-US" w:eastAsia="zh-CN" w:bidi="ar-SA"/>
    </w:rPr>
    <w:tblPr/>
  </w:style>
  <w:style w:type="table" w:styleId="1140">
    <w:name w:val="List Table 7 Colorful - Accent 5"/>
    <w:next w:val="1140"/>
    <w:link w:val="879"/>
    <w:uiPriority w:val="99"/>
    <w:qFormat/>
    <w:rPr>
      <w:lang w:val="en-US" w:eastAsia="zh-CN" w:bidi="ar-SA"/>
    </w:rPr>
    <w:tblPr/>
  </w:style>
  <w:style w:type="table" w:styleId="1141">
    <w:name w:val="List Table 7 Colorful - Accent 6"/>
    <w:next w:val="1141"/>
    <w:link w:val="879"/>
    <w:uiPriority w:val="99"/>
    <w:qFormat/>
    <w:rPr>
      <w:lang w:val="en-US" w:eastAsia="zh-CN" w:bidi="ar-SA"/>
    </w:rPr>
    <w:tblPr/>
  </w:style>
  <w:style w:type="table" w:styleId="1142">
    <w:name w:val="Lined - Accent"/>
    <w:next w:val="1142"/>
    <w:link w:val="879"/>
    <w:uiPriority w:val="99"/>
    <w:qFormat/>
    <w:rPr>
      <w:color w:val="404040"/>
      <w:lang w:val="en-US" w:eastAsia="zh-CN" w:bidi="ar-SA"/>
    </w:rPr>
    <w:tblPr/>
  </w:style>
  <w:style w:type="table" w:styleId="1143">
    <w:name w:val="Lined - Accent 1"/>
    <w:next w:val="1143"/>
    <w:link w:val="879"/>
    <w:uiPriority w:val="99"/>
    <w:qFormat/>
    <w:rPr>
      <w:color w:val="404040"/>
      <w:lang w:val="en-US" w:eastAsia="zh-CN" w:bidi="ar-SA"/>
    </w:rPr>
    <w:tblPr/>
  </w:style>
  <w:style w:type="table" w:styleId="1144">
    <w:name w:val="Lined - Accent 2"/>
    <w:next w:val="1144"/>
    <w:link w:val="879"/>
    <w:uiPriority w:val="99"/>
    <w:qFormat/>
    <w:rPr>
      <w:color w:val="404040"/>
      <w:lang w:val="en-US" w:eastAsia="zh-CN" w:bidi="ar-SA"/>
    </w:rPr>
    <w:tblPr/>
  </w:style>
  <w:style w:type="table" w:styleId="1145">
    <w:name w:val="Lined - Accent 3"/>
    <w:next w:val="1145"/>
    <w:link w:val="879"/>
    <w:uiPriority w:val="99"/>
    <w:qFormat/>
    <w:rPr>
      <w:color w:val="404040"/>
      <w:lang w:val="en-US" w:eastAsia="zh-CN" w:bidi="ar-SA"/>
    </w:rPr>
    <w:tblPr/>
  </w:style>
  <w:style w:type="table" w:styleId="1146">
    <w:name w:val="Lined - Accent 4"/>
    <w:next w:val="1146"/>
    <w:link w:val="879"/>
    <w:uiPriority w:val="99"/>
    <w:qFormat/>
    <w:rPr>
      <w:color w:val="404040"/>
      <w:lang w:val="en-US" w:eastAsia="zh-CN" w:bidi="ar-SA"/>
    </w:rPr>
    <w:tblPr/>
  </w:style>
  <w:style w:type="table" w:styleId="1147">
    <w:name w:val="Lined - Accent 5"/>
    <w:next w:val="1147"/>
    <w:link w:val="879"/>
    <w:uiPriority w:val="99"/>
    <w:qFormat/>
    <w:rPr>
      <w:color w:val="404040"/>
      <w:lang w:val="en-US" w:eastAsia="zh-CN" w:bidi="ar-SA"/>
    </w:rPr>
    <w:tblPr/>
  </w:style>
  <w:style w:type="table" w:styleId="1148">
    <w:name w:val="Lined - Accent 6"/>
    <w:next w:val="1148"/>
    <w:link w:val="879"/>
    <w:uiPriority w:val="99"/>
    <w:qFormat/>
    <w:rPr>
      <w:color w:val="404040"/>
      <w:lang w:val="en-US" w:eastAsia="zh-CN" w:bidi="ar-SA"/>
    </w:rPr>
    <w:tblPr/>
  </w:style>
  <w:style w:type="table" w:styleId="1149">
    <w:name w:val="Bordered &amp; Lined - Accent"/>
    <w:next w:val="1149"/>
    <w:link w:val="879"/>
    <w:uiPriority w:val="99"/>
    <w:qFormat/>
    <w:rPr>
      <w:color w:val="404040"/>
      <w:lang w:val="en-US" w:eastAsia="zh-CN" w:bidi="ar-SA"/>
    </w:rPr>
    <w:tblPr/>
  </w:style>
  <w:style w:type="table" w:styleId="1150">
    <w:name w:val="Bordered &amp; Lined - Accent 1"/>
    <w:next w:val="1150"/>
    <w:link w:val="879"/>
    <w:uiPriority w:val="99"/>
    <w:qFormat/>
    <w:rPr>
      <w:color w:val="404040"/>
      <w:lang w:val="en-US" w:eastAsia="zh-CN" w:bidi="ar-SA"/>
    </w:rPr>
    <w:tblPr/>
  </w:style>
  <w:style w:type="table" w:styleId="1151">
    <w:name w:val="Bordered &amp; Lined - Accent 2"/>
    <w:next w:val="1151"/>
    <w:link w:val="879"/>
    <w:uiPriority w:val="99"/>
    <w:qFormat/>
    <w:rPr>
      <w:color w:val="404040"/>
      <w:lang w:val="en-US" w:eastAsia="zh-CN" w:bidi="ar-SA"/>
    </w:rPr>
    <w:tblPr/>
  </w:style>
  <w:style w:type="table" w:styleId="1152">
    <w:name w:val="Bordered &amp; Lined - Accent 3"/>
    <w:next w:val="1152"/>
    <w:link w:val="879"/>
    <w:uiPriority w:val="99"/>
    <w:qFormat/>
    <w:rPr>
      <w:color w:val="404040"/>
      <w:lang w:val="en-US" w:eastAsia="zh-CN" w:bidi="ar-SA"/>
    </w:rPr>
    <w:tblPr/>
  </w:style>
  <w:style w:type="table" w:styleId="1153">
    <w:name w:val="Bordered &amp; Lined - Accent 4"/>
    <w:next w:val="1153"/>
    <w:link w:val="879"/>
    <w:uiPriority w:val="99"/>
    <w:qFormat/>
    <w:rPr>
      <w:color w:val="404040"/>
      <w:lang w:val="en-US" w:eastAsia="zh-CN" w:bidi="ar-SA"/>
    </w:rPr>
    <w:tblPr/>
  </w:style>
  <w:style w:type="table" w:styleId="1154">
    <w:name w:val="Bordered &amp; Lined - Accent 5"/>
    <w:next w:val="1154"/>
    <w:link w:val="879"/>
    <w:uiPriority w:val="99"/>
    <w:qFormat/>
    <w:rPr>
      <w:color w:val="404040"/>
      <w:lang w:val="en-US" w:eastAsia="zh-CN" w:bidi="ar-SA"/>
    </w:rPr>
    <w:tblPr/>
  </w:style>
  <w:style w:type="table" w:styleId="1155">
    <w:name w:val="Bordered &amp; Lined - Accent 6"/>
    <w:next w:val="1155"/>
    <w:link w:val="879"/>
    <w:uiPriority w:val="99"/>
    <w:qFormat/>
    <w:rPr>
      <w:color w:val="404040"/>
      <w:lang w:val="en-US" w:eastAsia="zh-CN" w:bidi="ar-SA"/>
    </w:rPr>
    <w:tblPr/>
  </w:style>
  <w:style w:type="table" w:styleId="1156">
    <w:name w:val="Bordered"/>
    <w:next w:val="1156"/>
    <w:link w:val="879"/>
    <w:uiPriority w:val="99"/>
    <w:qFormat/>
    <w:rPr>
      <w:lang w:val="en-US" w:eastAsia="zh-CN" w:bidi="ar-SA"/>
    </w:rPr>
    <w:tblPr/>
  </w:style>
  <w:style w:type="table" w:styleId="1157">
    <w:name w:val="Bordered - Accent 1"/>
    <w:next w:val="1157"/>
    <w:link w:val="879"/>
    <w:uiPriority w:val="99"/>
    <w:qFormat/>
    <w:rPr>
      <w:lang w:val="en-US" w:eastAsia="zh-CN" w:bidi="ar-SA"/>
    </w:rPr>
    <w:tblPr/>
  </w:style>
  <w:style w:type="table" w:styleId="1158">
    <w:name w:val="Bordered - Accent 2"/>
    <w:next w:val="1158"/>
    <w:link w:val="879"/>
    <w:uiPriority w:val="99"/>
    <w:qFormat/>
    <w:rPr>
      <w:lang w:val="en-US" w:eastAsia="zh-CN" w:bidi="ar-SA"/>
    </w:rPr>
    <w:tblPr/>
  </w:style>
  <w:style w:type="table" w:styleId="1159">
    <w:name w:val="Bordered - Accent 3"/>
    <w:next w:val="1159"/>
    <w:link w:val="879"/>
    <w:uiPriority w:val="99"/>
    <w:qFormat/>
    <w:rPr>
      <w:lang w:val="en-US" w:eastAsia="zh-CN" w:bidi="ar-SA"/>
    </w:rPr>
    <w:tblPr/>
  </w:style>
  <w:style w:type="table" w:styleId="1160">
    <w:name w:val="Bordered - Accent 4"/>
    <w:next w:val="1160"/>
    <w:link w:val="879"/>
    <w:uiPriority w:val="99"/>
    <w:qFormat/>
    <w:rPr>
      <w:lang w:val="en-US" w:eastAsia="zh-CN" w:bidi="ar-SA"/>
    </w:rPr>
    <w:tblPr/>
  </w:style>
  <w:style w:type="table" w:styleId="1161">
    <w:name w:val="Bordered - Accent 5"/>
    <w:next w:val="1161"/>
    <w:link w:val="879"/>
    <w:uiPriority w:val="99"/>
    <w:qFormat/>
    <w:rPr>
      <w:lang w:val="en-US" w:eastAsia="zh-CN" w:bidi="ar-SA"/>
    </w:rPr>
    <w:tblPr/>
  </w:style>
  <w:style w:type="table" w:styleId="1162">
    <w:name w:val="Bordered - Accent 6"/>
    <w:next w:val="1162"/>
    <w:link w:val="879"/>
    <w:uiPriority w:val="99"/>
    <w:qFormat/>
    <w:rPr>
      <w:lang w:val="en-US" w:eastAsia="zh-CN" w:bidi="ar-SA"/>
    </w:rPr>
    <w:tblPr/>
  </w:style>
  <w:style w:type="paragraph" w:styleId="1163">
    <w:name w:val="TOC Heading"/>
    <w:next w:val="1163"/>
    <w:link w:val="879"/>
    <w:uiPriority w:val="39"/>
    <w:unhideWhenUsed/>
    <w:qFormat/>
    <w:rPr>
      <w:rFonts w:ascii="Times New Roman" w:hAnsi="Times New Roman" w:eastAsia="宋体" w:cs="Times New Roman"/>
      <w:lang w:val="en-US" w:eastAsia="zh-CN" w:bidi="ar-SA"/>
    </w:rPr>
  </w:style>
  <w:style w:type="paragraph" w:styleId="1164">
    <w:name w:val="标题 11"/>
    <w:basedOn w:val="879"/>
    <w:next w:val="879"/>
    <w:link w:val="1165"/>
    <w:qFormat/>
    <w:pPr>
      <w:keepLines/>
      <w:keepNext/>
      <w:spacing w:before="340" w:after="330" w:line="578" w:lineRule="auto"/>
      <w:outlineLvl w:val="0"/>
    </w:pPr>
    <w:rPr>
      <w:rFonts w:ascii="Calibri" w:hAnsi="Calibri" w:eastAsia="楷体_GB2312"/>
      <w:b/>
      <w:sz w:val="44"/>
      <w:szCs w:val="20"/>
    </w:rPr>
  </w:style>
  <w:style w:type="character" w:styleId="1165">
    <w:name w:val="标题 1 字符"/>
    <w:next w:val="1165"/>
    <w:link w:val="1164"/>
    <w:qFormat/>
    <w:rPr>
      <w:rFonts w:ascii="Calibri" w:hAnsi="Calibri" w:eastAsia="楷体_GB2312" w:cs="Times New Roman"/>
      <w:b/>
      <w:sz w:val="44"/>
    </w:rPr>
  </w:style>
  <w:style w:type="paragraph" w:styleId="1166">
    <w:name w:val="标题 41"/>
    <w:basedOn w:val="879"/>
    <w:next w:val="879"/>
    <w:link w:val="1167"/>
    <w:uiPriority w:val="9"/>
    <w:qFormat/>
    <w:pPr>
      <w:keepLines/>
      <w:keepNext/>
      <w:spacing w:before="280" w:after="290" w:line="376" w:lineRule="auto"/>
      <w:outlineLvl w:val="3"/>
    </w:pPr>
    <w:rPr>
      <w:rFonts w:ascii="Cambria" w:hAnsi="Cambria"/>
      <w:b/>
      <w:bCs/>
      <w:sz w:val="28"/>
      <w:szCs w:val="28"/>
    </w:rPr>
  </w:style>
  <w:style w:type="character" w:styleId="1167">
    <w:name w:val="标题 4 字符"/>
    <w:next w:val="1167"/>
    <w:link w:val="1166"/>
    <w:uiPriority w:val="9"/>
    <w:semiHidden/>
    <w:qFormat/>
    <w:rPr>
      <w:rFonts w:ascii="Cambria" w:hAnsi="Cambria" w:eastAsia="宋体" w:cs="Times New Roman"/>
      <w:b/>
      <w:bCs/>
      <w:sz w:val="28"/>
      <w:szCs w:val="28"/>
    </w:rPr>
  </w:style>
  <w:style w:type="character" w:styleId="1168">
    <w:name w:val="默认段落字体11"/>
    <w:next w:val="1168"/>
    <w:link w:val="879"/>
    <w:qFormat/>
    <w:rPr>
      <w:rFonts w:ascii="Calibri" w:hAnsi="Calibri" w:eastAsia="宋体" w:cs="Times New Roman"/>
    </w:rPr>
  </w:style>
  <w:style w:type="table" w:styleId="1169">
    <w:name w:val="普通表格1"/>
    <w:next w:val="1169"/>
    <w:link w:val="879"/>
    <w:qFormat/>
    <w:rPr>
      <w:rFonts w:ascii="Calibri" w:hAnsi="Calibri"/>
      <w:lang w:val="en-US" w:eastAsia="zh-CN" w:bidi="ar-SA"/>
    </w:rPr>
    <w:tblPr/>
  </w:style>
  <w:style w:type="paragraph" w:styleId="1170">
    <w:name w:val="正文缩进12"/>
    <w:basedOn w:val="879"/>
    <w:next w:val="879"/>
    <w:link w:val="1171"/>
    <w:qFormat/>
    <w:pPr>
      <w:ind w:firstLine="420"/>
      <w:jc w:val="left"/>
      <w:widowControl/>
    </w:pPr>
    <w:rPr>
      <w:rFonts w:ascii="Calibri" w:hAnsi="Calibri" w:eastAsia="楷体_GB2312"/>
      <w:sz w:val="24"/>
      <w:szCs w:val="20"/>
    </w:rPr>
  </w:style>
  <w:style w:type="character" w:styleId="1171">
    <w:name w:val="正文缩进 字符"/>
    <w:next w:val="1171"/>
    <w:link w:val="1170"/>
    <w:qFormat/>
    <w:rPr>
      <w:rFonts w:ascii="Calibri" w:hAnsi="Calibri" w:eastAsia="楷体_GB2312" w:cs="Times New Roman"/>
      <w:sz w:val="24"/>
    </w:rPr>
  </w:style>
  <w:style w:type="paragraph" w:styleId="1172">
    <w:name w:val="文档结构图1"/>
    <w:basedOn w:val="879"/>
    <w:next w:val="1172"/>
    <w:link w:val="1173"/>
    <w:uiPriority w:val="99"/>
    <w:unhideWhenUsed/>
    <w:qFormat/>
    <w:rPr>
      <w:rFonts w:ascii="宋体"/>
      <w:sz w:val="18"/>
      <w:szCs w:val="18"/>
    </w:rPr>
  </w:style>
  <w:style w:type="character" w:styleId="1173">
    <w:name w:val="文档结构图 字符"/>
    <w:next w:val="1173"/>
    <w:link w:val="1172"/>
    <w:uiPriority w:val="99"/>
    <w:semiHidden/>
    <w:qFormat/>
    <w:rPr>
      <w:rFonts w:ascii="宋体" w:hAnsi="Times New Roman" w:eastAsia="宋体" w:cs="Times New Roman"/>
      <w:sz w:val="18"/>
      <w:szCs w:val="18"/>
    </w:rPr>
  </w:style>
  <w:style w:type="paragraph" w:styleId="1174">
    <w:name w:val="批注文字1"/>
    <w:basedOn w:val="879"/>
    <w:next w:val="1174"/>
    <w:link w:val="1175"/>
    <w:qFormat/>
    <w:pPr>
      <w:jc w:val="left"/>
    </w:pPr>
  </w:style>
  <w:style w:type="character" w:styleId="1175">
    <w:name w:val="批注文字 字符"/>
    <w:next w:val="1175"/>
    <w:link w:val="1174"/>
    <w:qFormat/>
    <w:rPr>
      <w:rFonts w:ascii="Times New Roman" w:hAnsi="Times New Roman" w:eastAsia="宋体" w:cs="Times New Roman"/>
      <w:sz w:val="21"/>
      <w:szCs w:val="24"/>
    </w:rPr>
  </w:style>
  <w:style w:type="paragraph" w:styleId="1176">
    <w:name w:val="正文文本1"/>
    <w:basedOn w:val="879"/>
    <w:next w:val="1176"/>
    <w:link w:val="1177"/>
    <w:uiPriority w:val="99"/>
    <w:unhideWhenUsed/>
    <w:qFormat/>
    <w:pPr>
      <w:spacing w:after="120"/>
    </w:pPr>
    <w:rPr>
      <w:rFonts w:ascii="Calibri" w:hAnsi="Calibri"/>
    </w:rPr>
  </w:style>
  <w:style w:type="character" w:styleId="1177">
    <w:name w:val="正文文本 字符"/>
    <w:next w:val="1177"/>
    <w:link w:val="1176"/>
    <w:uiPriority w:val="99"/>
    <w:semiHidden/>
    <w:qFormat/>
    <w:rPr>
      <w:rFonts w:ascii="Calibri" w:hAnsi="Calibri" w:eastAsia="宋体" w:cs="Times New Roman"/>
      <w:sz w:val="21"/>
      <w:szCs w:val="24"/>
    </w:rPr>
  </w:style>
  <w:style w:type="paragraph" w:styleId="1178">
    <w:name w:val="正文文本缩进1"/>
    <w:basedOn w:val="879"/>
    <w:next w:val="879"/>
    <w:link w:val="879"/>
    <w:uiPriority w:val="99"/>
    <w:unhideWhenUsed/>
    <w:qFormat/>
    <w:pPr>
      <w:ind w:left="420"/>
      <w:spacing w:after="120"/>
    </w:pPr>
  </w:style>
  <w:style w:type="paragraph" w:styleId="1179">
    <w:name w:val="文本块1"/>
    <w:basedOn w:val="1164"/>
    <w:next w:val="879"/>
    <w:link w:val="879"/>
    <w:qFormat/>
    <w:pPr>
      <w:ind w:left="630" w:right="-609" w:firstLine="420"/>
      <w:spacing w:line="360" w:lineRule="auto"/>
    </w:pPr>
    <w:rPr>
      <w:rFonts w:hint="eastAsia" w:ascii="仿宋_GB2312" w:hAnsi="Calibri" w:eastAsia="仿宋_GB2312" w:cs="Times New Roman"/>
      <w:szCs w:val="20"/>
    </w:rPr>
  </w:style>
  <w:style w:type="paragraph" w:styleId="1180">
    <w:name w:val="目录 31"/>
    <w:basedOn w:val="879"/>
    <w:next w:val="879"/>
    <w:link w:val="879"/>
    <w:uiPriority w:val="39"/>
    <w:unhideWhenUsed/>
    <w:qFormat/>
    <w:pPr>
      <w:ind w:left="840"/>
    </w:pPr>
  </w:style>
  <w:style w:type="paragraph" w:styleId="1181">
    <w:name w:val="纯文本11"/>
    <w:basedOn w:val="879"/>
    <w:next w:val="1181"/>
    <w:link w:val="1182"/>
    <w:qFormat/>
    <w:rPr>
      <w:rFonts w:ascii="宋体" w:hAnsi="Courier New" w:eastAsia="楷体_GB2312"/>
      <w:sz w:val="26"/>
      <w:szCs w:val="20"/>
    </w:rPr>
  </w:style>
  <w:style w:type="character" w:styleId="1182">
    <w:name w:val="纯文本 字符"/>
    <w:next w:val="1182"/>
    <w:link w:val="1181"/>
    <w:qFormat/>
    <w:rPr>
      <w:rFonts w:ascii="宋体" w:hAnsi="Courier New" w:eastAsia="楷体_GB2312"/>
      <w:sz w:val="26"/>
    </w:rPr>
  </w:style>
  <w:style w:type="paragraph" w:styleId="1183">
    <w:name w:val="日期1"/>
    <w:basedOn w:val="879"/>
    <w:next w:val="879"/>
    <w:link w:val="1184"/>
    <w:qFormat/>
    <w:rPr>
      <w:rFonts w:ascii="宋体" w:hAnsi="宋体" w:eastAsia="楷体_GB2312"/>
      <w:sz w:val="24"/>
      <w:szCs w:val="20"/>
    </w:rPr>
  </w:style>
  <w:style w:type="character" w:styleId="1184">
    <w:name w:val="日期 字符"/>
    <w:next w:val="1184"/>
    <w:link w:val="1183"/>
    <w:qFormat/>
    <w:rPr>
      <w:rFonts w:ascii="宋体" w:hAnsi="宋体" w:eastAsia="楷体_GB2312" w:cs="Times New Roman"/>
      <w:sz w:val="24"/>
    </w:rPr>
  </w:style>
  <w:style w:type="paragraph" w:styleId="1185">
    <w:name w:val="正文文本缩进 21"/>
    <w:basedOn w:val="879"/>
    <w:next w:val="1185"/>
    <w:link w:val="879"/>
    <w:qFormat/>
    <w:pPr>
      <w:ind w:left="420"/>
      <w:spacing w:after="120" w:line="480" w:lineRule="auto"/>
    </w:pPr>
    <w:rPr>
      <w:rFonts w:ascii="Calibri" w:hAnsi="Calibri" w:eastAsia="宋体" w:cs="Times New Roman"/>
    </w:rPr>
  </w:style>
  <w:style w:type="paragraph" w:styleId="1186">
    <w:name w:val="批注框文本1"/>
    <w:basedOn w:val="879"/>
    <w:next w:val="1186"/>
    <w:link w:val="1187"/>
    <w:qFormat/>
    <w:rPr>
      <w:sz w:val="18"/>
      <w:szCs w:val="18"/>
    </w:rPr>
  </w:style>
  <w:style w:type="character" w:styleId="1187">
    <w:name w:val="批注框文本 字符"/>
    <w:next w:val="1187"/>
    <w:link w:val="1186"/>
    <w:qFormat/>
    <w:rPr>
      <w:rFonts w:ascii="Times New Roman" w:hAnsi="Times New Roman" w:eastAsia="宋体" w:cs="Times New Roman"/>
      <w:sz w:val="18"/>
      <w:szCs w:val="18"/>
    </w:rPr>
  </w:style>
  <w:style w:type="paragraph" w:styleId="1188">
    <w:name w:val="页脚11"/>
    <w:basedOn w:val="879"/>
    <w:next w:val="1188"/>
    <w:link w:val="1189"/>
    <w:uiPriority w:val="99"/>
    <w:qFormat/>
    <w:pPr>
      <w:jc w:val="left"/>
      <w:tabs>
        <w:tab w:val="center" w:pos="4153" w:leader="none"/>
        <w:tab w:val="right" w:pos="8306" w:leader="none"/>
      </w:tabs>
    </w:pPr>
    <w:rPr>
      <w:rFonts w:ascii="Calibri" w:hAnsi="Calibri"/>
      <w:sz w:val="18"/>
      <w:szCs w:val="18"/>
    </w:rPr>
  </w:style>
  <w:style w:type="character" w:styleId="1189">
    <w:name w:val="页脚 字符"/>
    <w:next w:val="1189"/>
    <w:link w:val="1188"/>
    <w:uiPriority w:val="99"/>
    <w:qFormat/>
    <w:rPr>
      <w:rFonts w:ascii="Calibri" w:hAnsi="Calibri" w:eastAsia="宋体" w:cs="Times New Roman"/>
      <w:sz w:val="18"/>
      <w:szCs w:val="18"/>
    </w:rPr>
  </w:style>
  <w:style w:type="paragraph" w:styleId="1190">
    <w:name w:val="寄信人地址11"/>
    <w:basedOn w:val="879"/>
    <w:next w:val="1190"/>
    <w:link w:val="879"/>
    <w:uiPriority w:val="99"/>
    <w:unhideWhenUsed/>
    <w:qFormat/>
    <w:rPr>
      <w:rFonts w:ascii="Cambria" w:hAnsi="Cambria" w:eastAsia="宋体" w:cs="Times New Roman"/>
    </w:rPr>
  </w:style>
  <w:style w:type="paragraph" w:styleId="1191">
    <w:name w:val="页眉11"/>
    <w:basedOn w:val="879"/>
    <w:next w:val="1191"/>
    <w:link w:val="1192"/>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92">
    <w:name w:val="页眉 字符"/>
    <w:next w:val="1192"/>
    <w:link w:val="1191"/>
    <w:qFormat/>
    <w:rPr>
      <w:rFonts w:ascii="Calibri" w:hAnsi="Calibri" w:eastAsia="宋体" w:cs="Times New Roman"/>
      <w:sz w:val="18"/>
      <w:szCs w:val="18"/>
    </w:rPr>
  </w:style>
  <w:style w:type="paragraph" w:styleId="1193">
    <w:name w:val="目录 11"/>
    <w:basedOn w:val="879"/>
    <w:next w:val="879"/>
    <w:link w:val="879"/>
    <w:uiPriority w:val="39"/>
    <w:qFormat/>
    <w:pPr>
      <w:jc w:val="left"/>
    </w:pPr>
    <w:rPr>
      <w:rFonts w:ascii="Calibri" w:hAnsi="Calibri" w:eastAsia="楷体_GB2312" w:cs="Times New Roman"/>
      <w:sz w:val="24"/>
      <w:szCs w:val="20"/>
    </w:rPr>
  </w:style>
  <w:style w:type="paragraph" w:styleId="1194">
    <w:name w:val="脚注文本1"/>
    <w:basedOn w:val="1164"/>
    <w:next w:val="1179"/>
    <w:link w:val="879"/>
    <w:qFormat/>
    <w:pPr>
      <w:ind w:left="0" w:firstLine="3584"/>
      <w:spacing w:before="0" w:after="0" w:line="360" w:lineRule="auto"/>
    </w:pPr>
    <w:rPr>
      <w:rFonts w:ascii="Times New Roman" w:hAnsi="Times New Roman" w:cs="Times New Roman"/>
    </w:rPr>
  </w:style>
  <w:style w:type="paragraph" w:styleId="1195">
    <w:name w:val="正文文本缩进 311"/>
    <w:basedOn w:val="879"/>
    <w:next w:val="1195"/>
    <w:link w:val="1196"/>
    <w:qFormat/>
    <w:pPr>
      <w:ind w:firstLine="480"/>
      <w:jc w:val="left"/>
      <w:spacing w:line="440" w:lineRule="atLeast"/>
    </w:pPr>
    <w:rPr>
      <w:sz w:val="24"/>
    </w:rPr>
  </w:style>
  <w:style w:type="character" w:styleId="1196">
    <w:name w:val="正文文本缩进 3 字符"/>
    <w:next w:val="1196"/>
    <w:link w:val="1195"/>
    <w:qFormat/>
    <w:rPr>
      <w:rFonts w:ascii="Times New Roman" w:hAnsi="Times New Roman" w:eastAsia="宋体" w:cs="Times New Roman"/>
      <w:sz w:val="24"/>
      <w:szCs w:val="24"/>
    </w:rPr>
  </w:style>
  <w:style w:type="paragraph" w:styleId="1197">
    <w:name w:val="目录 21"/>
    <w:basedOn w:val="879"/>
    <w:next w:val="879"/>
    <w:link w:val="879"/>
    <w:uiPriority w:val="39"/>
    <w:unhideWhenUsed/>
    <w:qFormat/>
    <w:pPr>
      <w:ind w:left="420"/>
    </w:pPr>
  </w:style>
  <w:style w:type="paragraph" w:styleId="1198">
    <w:name w:val="普通(网站)11"/>
    <w:basedOn w:val="879"/>
    <w:next w:val="1198"/>
    <w:link w:val="879"/>
    <w:qFormat/>
    <w:pPr>
      <w:jc w:val="left"/>
      <w:spacing w:beforeAutospacing="1" w:afterAutospacing="1"/>
    </w:pPr>
    <w:rPr>
      <w:sz w:val="24"/>
    </w:rPr>
  </w:style>
  <w:style w:type="paragraph" w:styleId="1199">
    <w:name w:val="批注主题1"/>
    <w:basedOn w:val="1174"/>
    <w:next w:val="1174"/>
    <w:link w:val="1200"/>
    <w:qFormat/>
    <w:rPr>
      <w:b/>
      <w:bCs/>
    </w:rPr>
  </w:style>
  <w:style w:type="character" w:styleId="1200">
    <w:name w:val="批注主题 字符"/>
    <w:next w:val="1200"/>
    <w:link w:val="1199"/>
    <w:qFormat/>
    <w:rPr>
      <w:rFonts w:ascii="Times New Roman" w:hAnsi="Times New Roman" w:eastAsia="宋体" w:cs="Times New Roman"/>
      <w:b/>
      <w:bCs/>
      <w:sz w:val="21"/>
      <w:szCs w:val="24"/>
    </w:rPr>
  </w:style>
  <w:style w:type="paragraph" w:styleId="1201">
    <w:name w:val="正文首行缩进1"/>
    <w:basedOn w:val="1176"/>
    <w:next w:val="1201"/>
    <w:link w:val="879"/>
    <w:qFormat/>
    <w:pPr>
      <w:ind w:firstLine="420"/>
      <w:spacing w:line="360" w:lineRule="auto"/>
      <w:tabs>
        <w:tab w:val="left" w:pos="5250" w:leader="none"/>
      </w:tabs>
    </w:pPr>
    <w:rPr>
      <w:rFonts w:ascii="宋体" w:hAnsi="宋体"/>
      <w:sz w:val="24"/>
    </w:rPr>
  </w:style>
  <w:style w:type="paragraph" w:styleId="1202">
    <w:name w:val="正文首行缩进 21"/>
    <w:basedOn w:val="1178"/>
    <w:next w:val="1202"/>
    <w:link w:val="879"/>
    <w:qFormat/>
    <w:pPr>
      <w:ind w:left="570" w:firstLine="420"/>
      <w:spacing w:after="0" w:line="520" w:lineRule="exact"/>
    </w:pPr>
    <w:rPr>
      <w:rFonts w:ascii="方正仿宋简体" w:hAnsi="创艺简仿宋" w:eastAsia="方正仿宋简体"/>
      <w:sz w:val="24"/>
      <w:szCs w:val="20"/>
    </w:rPr>
  </w:style>
  <w:style w:type="table" w:styleId="1203">
    <w:name w:val="网格型1"/>
    <w:basedOn w:val="1169"/>
    <w:next w:val="1203"/>
    <w:link w:val="879"/>
    <w:qFormat/>
    <w:rPr>
      <w:rFonts w:ascii="Calibri" w:hAnsi="Calibri" w:eastAsia="宋体" w:cs="Times New Roman"/>
    </w:rPr>
    <w:tblPr/>
  </w:style>
  <w:style w:type="character" w:styleId="1204">
    <w:name w:val="页码11"/>
    <w:next w:val="1204"/>
    <w:link w:val="879"/>
    <w:qFormat/>
    <w:rPr>
      <w:rFonts w:ascii="Calibri" w:hAnsi="Calibri" w:eastAsia="宋体" w:cs="Times New Roman"/>
    </w:rPr>
  </w:style>
  <w:style w:type="character" w:styleId="1205">
    <w:name w:val="超链接1"/>
    <w:next w:val="1205"/>
    <w:link w:val="879"/>
    <w:uiPriority w:val="99"/>
    <w:qFormat/>
    <w:rPr>
      <w:rFonts w:ascii="Calibri" w:hAnsi="Calibri" w:eastAsia="宋体" w:cs="Times New Roman"/>
      <w:color w:val="0000ff"/>
      <w:u w:val="single"/>
    </w:rPr>
  </w:style>
  <w:style w:type="character" w:styleId="1206">
    <w:name w:val="批注引用1"/>
    <w:next w:val="1206"/>
    <w:link w:val="879"/>
    <w:qFormat/>
    <w:rPr>
      <w:rFonts w:ascii="Calibri" w:hAnsi="Calibri" w:eastAsia="宋体" w:cs="Times New Roman"/>
      <w:sz w:val="21"/>
      <w:szCs w:val="21"/>
    </w:rPr>
  </w:style>
  <w:style w:type="character" w:styleId="1207">
    <w:name w:val="脚注引用1"/>
    <w:next w:val="1207"/>
    <w:link w:val="879"/>
    <w:qFormat/>
    <w:rPr>
      <w:rFonts w:ascii="Times New Roman" w:hAnsi="Times New Roman" w:eastAsia="宋体" w:cs="Times New Roman"/>
      <w:vertAlign w:val="superscript"/>
    </w:rPr>
  </w:style>
  <w:style w:type="character" w:styleId="1208">
    <w:name w:val="s4"/>
    <w:next w:val="1208"/>
    <w:link w:val="879"/>
    <w:qFormat/>
    <w:rPr>
      <w:rFonts w:ascii="Calibri" w:hAnsi="Calibri" w:eastAsia="宋体" w:cs="Times New Roman"/>
    </w:rPr>
  </w:style>
  <w:style w:type="character" w:styleId="1209">
    <w:name w:val="s1"/>
    <w:next w:val="1209"/>
    <w:link w:val="879"/>
    <w:qFormat/>
    <w:rPr>
      <w:rFonts w:ascii="Calibri" w:hAnsi="Calibri" w:eastAsia="宋体" w:cs="Times New Roman"/>
    </w:rPr>
  </w:style>
  <w:style w:type="character" w:styleId="1210">
    <w:name w:val="s5"/>
    <w:next w:val="1210"/>
    <w:link w:val="879"/>
    <w:qFormat/>
    <w:rPr>
      <w:rFonts w:ascii="Calibri" w:hAnsi="Calibri" w:eastAsia="宋体" w:cs="Times New Roman"/>
    </w:rPr>
  </w:style>
  <w:style w:type="character" w:styleId="1211">
    <w:name w:val="纯文本 Char1"/>
    <w:next w:val="1211"/>
    <w:link w:val="879"/>
    <w:uiPriority w:val="99"/>
    <w:semiHidden/>
    <w:qFormat/>
    <w:rPr>
      <w:rFonts w:ascii="宋体" w:hAnsi="Courier New" w:eastAsia="宋体" w:cs="Courier New"/>
      <w:sz w:val="21"/>
      <w:szCs w:val="21"/>
    </w:rPr>
  </w:style>
  <w:style w:type="character" w:styleId="1212">
    <w:name w:val="页脚 Char1"/>
    <w:next w:val="1212"/>
    <w:link w:val="879"/>
    <w:qFormat/>
    <w:rPr>
      <w:rFonts w:ascii="Times New Roman" w:hAnsi="Times New Roman" w:eastAsia="宋体" w:cs="Times New Roman"/>
      <w:sz w:val="18"/>
      <w:szCs w:val="18"/>
    </w:rPr>
  </w:style>
  <w:style w:type="character" w:styleId="1213">
    <w:name w:val="页眉 Char1"/>
    <w:next w:val="1213"/>
    <w:link w:val="879"/>
    <w:qFormat/>
    <w:rPr>
      <w:rFonts w:ascii="Times New Roman" w:hAnsi="Times New Roman" w:eastAsia="宋体" w:cs="Times New Roman"/>
      <w:sz w:val="18"/>
      <w:szCs w:val="18"/>
    </w:rPr>
  </w:style>
  <w:style w:type="character" w:styleId="1214">
    <w:name w:val="s2"/>
    <w:next w:val="1214"/>
    <w:link w:val="879"/>
    <w:qFormat/>
    <w:rPr>
      <w:rFonts w:ascii="Calibri" w:hAnsi="Calibri" w:eastAsia="宋体" w:cs="Times New Roman"/>
    </w:rPr>
  </w:style>
  <w:style w:type="character" w:styleId="1215">
    <w:name w:val="s3"/>
    <w:next w:val="1215"/>
    <w:link w:val="879"/>
    <w:qFormat/>
    <w:rPr>
      <w:rFonts w:ascii="Calibri" w:hAnsi="Calibri" w:eastAsia="宋体" w:cs="Times New Roman"/>
    </w:rPr>
  </w:style>
  <w:style w:type="paragraph" w:styleId="1216">
    <w:name w:val=" Char Char Char Char Char Char1 Char Char Char Char"/>
    <w:basedOn w:val="879"/>
    <w:next w:val="1003"/>
    <w:link w:val="879"/>
    <w:qFormat/>
    <w:pPr>
      <w:jc w:val="left"/>
      <w:spacing w:line="360" w:lineRule="auto"/>
      <w:shd w:val="clear" w:color="auto" w:fill="000080"/>
      <w:widowControl/>
    </w:pPr>
    <w:rPr>
      <w:sz w:val="24"/>
    </w:rPr>
  </w:style>
  <w:style w:type="paragraph" w:styleId="1217">
    <w:name w:val="p0"/>
    <w:basedOn w:val="879"/>
    <w:next w:val="1217"/>
    <w:link w:val="879"/>
    <w:qFormat/>
    <w:rPr>
      <w:rFonts w:ascii="Calibri" w:hAnsi="Calibri" w:eastAsia="宋体" w:cs="Times New Roman"/>
    </w:rPr>
  </w:style>
  <w:style w:type="paragraph" w:styleId="1218">
    <w:name w:val="p2"/>
    <w:basedOn w:val="879"/>
    <w:next w:val="1218"/>
    <w:link w:val="879"/>
    <w:qFormat/>
    <w:pPr>
      <w:jc w:val="left"/>
      <w:spacing w:before="100" w:beforeAutospacing="1" w:after="100" w:afterAutospacing="1"/>
      <w:widowControl/>
    </w:pPr>
    <w:rPr>
      <w:rFonts w:ascii="宋体" w:hAnsi="宋体" w:eastAsia="宋体" w:cs="宋体"/>
      <w:sz w:val="24"/>
    </w:rPr>
  </w:style>
  <w:style w:type="paragraph" w:styleId="1219">
    <w:name w:val="列表段落"/>
    <w:basedOn w:val="879"/>
    <w:next w:val="1219"/>
    <w:link w:val="879"/>
    <w:qFormat/>
    <w:pPr>
      <w:ind w:firstLine="420"/>
      <w:jc w:val="both"/>
      <w:widowControl w:val="off"/>
    </w:pPr>
    <w:rPr>
      <w:rFonts w:ascii="Calibri" w:hAnsi="Calibri" w:eastAsia="宋体" w:cs="Times New Roman"/>
      <w:szCs w:val="22"/>
    </w:rPr>
  </w:style>
  <w:style w:type="paragraph" w:styleId="1220">
    <w:name w:val="正文_0"/>
    <w:next w:val="1220"/>
    <w:link w:val="879"/>
    <w:qFormat/>
    <w:rPr>
      <w:rFonts w:ascii="Times New Roman" w:hAnsi="Times New Roman" w:eastAsia="宋体" w:cs="Times New Roman"/>
      <w:sz w:val="21"/>
      <w:lang w:val="en-US" w:eastAsia="zh-CN" w:bidi="ar-SA"/>
    </w:rPr>
  </w:style>
  <w:style w:type="paragraph" w:styleId="1221">
    <w:name w:val="p4"/>
    <w:basedOn w:val="879"/>
    <w:next w:val="1221"/>
    <w:link w:val="879"/>
    <w:qFormat/>
    <w:pPr>
      <w:jc w:val="left"/>
      <w:spacing w:before="100" w:beforeAutospacing="1" w:after="100" w:afterAutospacing="1"/>
      <w:widowControl/>
    </w:pPr>
    <w:rPr>
      <w:rFonts w:ascii="宋体" w:hAnsi="宋体" w:eastAsia="宋体" w:cs="宋体"/>
      <w:sz w:val="24"/>
    </w:rPr>
  </w:style>
  <w:style w:type="paragraph" w:styleId="1222">
    <w:name w:val="Char Char1 Char Char Char Char Char Char"/>
    <w:basedOn w:val="879"/>
    <w:next w:val="1222"/>
    <w:link w:val="879"/>
    <w:qFormat/>
    <w:pPr>
      <w:jc w:val="left"/>
      <w:spacing w:after="160" w:line="240" w:lineRule="exact"/>
      <w:widowControl/>
    </w:pPr>
    <w:rPr>
      <w:rFonts w:ascii="Verdana" w:hAnsi="Verdana" w:eastAsia="仿宋_GB2312" w:cs="Times New Roman"/>
      <w:sz w:val="24"/>
      <w:szCs w:val="20"/>
      <w:lang w:eastAsia="en-US"/>
    </w:rPr>
  </w:style>
  <w:style w:type="paragraph" w:styleId="1223">
    <w:name w:val="纯文本3"/>
    <w:basedOn w:val="879"/>
    <w:next w:val="1223"/>
    <w:link w:val="879"/>
    <w:qFormat/>
    <w:pPr>
      <w:jc w:val="left"/>
      <w:widowControl/>
    </w:pPr>
    <w:rPr>
      <w:rFonts w:ascii="宋体" w:hAnsi="Courier New" w:eastAsia="楷体_GB2312"/>
      <w:sz w:val="26"/>
      <w:szCs w:val="20"/>
    </w:rPr>
  </w:style>
  <w:style w:type="paragraph" w:styleId="1224">
    <w:name w:val="列出段落1"/>
    <w:basedOn w:val="1220"/>
    <w:next w:val="1224"/>
    <w:link w:val="879"/>
    <w:pPr>
      <w:ind w:firstLine="420"/>
      <w:jc w:val="both"/>
      <w:widowControl w:val="off"/>
    </w:pPr>
    <w:rPr>
      <w:rFonts w:ascii="Calibri" w:hAnsi="Calibri" w:eastAsia="宋体" w:cs="Times New Roman"/>
      <w:szCs w:val="24"/>
    </w:rPr>
  </w:style>
  <w:style w:type="paragraph" w:styleId="1225">
    <w:name w:val="p3"/>
    <w:basedOn w:val="879"/>
    <w:next w:val="1225"/>
    <w:link w:val="879"/>
    <w:pPr>
      <w:jc w:val="left"/>
      <w:spacing w:before="100" w:beforeAutospacing="1" w:after="100" w:afterAutospacing="1"/>
      <w:widowControl/>
    </w:pPr>
    <w:rPr>
      <w:rFonts w:ascii="宋体" w:hAnsi="宋体" w:eastAsia="宋体" w:cs="宋体"/>
      <w:sz w:val="24"/>
    </w:rPr>
  </w:style>
  <w:style w:type="paragraph" w:styleId="1226">
    <w:name w:val="p6"/>
    <w:basedOn w:val="879"/>
    <w:next w:val="1226"/>
    <w:link w:val="879"/>
    <w:qFormat/>
    <w:pPr>
      <w:jc w:val="left"/>
      <w:spacing w:before="100" w:beforeAutospacing="1" w:after="100" w:afterAutospacing="1"/>
      <w:widowControl/>
    </w:pPr>
    <w:rPr>
      <w:rFonts w:ascii="宋体" w:hAnsi="宋体" w:eastAsia="宋体" w:cs="宋体"/>
      <w:sz w:val="24"/>
    </w:rPr>
  </w:style>
  <w:style w:type="paragraph" w:styleId="1227">
    <w:name w:val="首行缩进:  0.74 厘米 行距: 多倍行距 1.3 字行"/>
    <w:basedOn w:val="879"/>
    <w:next w:val="1227"/>
    <w:link w:val="879"/>
    <w:qFormat/>
    <w:pPr>
      <w:ind w:firstLine="420"/>
      <w:spacing w:line="312" w:lineRule="auto"/>
    </w:pPr>
    <w:rPr>
      <w:rFonts w:ascii="Calibri" w:hAnsi="Calibri" w:eastAsia="宋体" w:cs="宋体"/>
      <w:sz w:val="24"/>
      <w:szCs w:val="20"/>
    </w:rPr>
  </w:style>
  <w:style w:type="paragraph" w:styleId="1228">
    <w:name w:val="p7"/>
    <w:basedOn w:val="879"/>
    <w:next w:val="1228"/>
    <w:link w:val="879"/>
    <w:qFormat/>
    <w:pPr>
      <w:jc w:val="left"/>
      <w:spacing w:before="100" w:beforeAutospacing="1" w:after="100" w:afterAutospacing="1"/>
      <w:widowControl/>
    </w:pPr>
    <w:rPr>
      <w:rFonts w:ascii="宋体" w:hAnsi="宋体" w:eastAsia="宋体" w:cs="宋体"/>
      <w:sz w:val="24"/>
    </w:rPr>
  </w:style>
  <w:style w:type="paragraph" w:styleId="1229">
    <w:name w:val="+正文"/>
    <w:basedOn w:val="879"/>
    <w:next w:val="1229"/>
    <w:link w:val="879"/>
    <w:qFormat/>
    <w:pPr>
      <w:ind w:firstLine="200"/>
      <w:spacing w:line="360" w:lineRule="auto"/>
    </w:pPr>
    <w:rPr>
      <w:sz w:val="24"/>
      <w:szCs w:val="20"/>
    </w:rPr>
  </w:style>
  <w:style w:type="paragraph" w:styleId="1230">
    <w:name w:val="Char"/>
    <w:basedOn w:val="879"/>
    <w:next w:val="1230"/>
    <w:link w:val="879"/>
    <w:qFormat/>
    <w:rPr>
      <w:rFonts w:ascii="Tahoma" w:hAnsi="Tahoma"/>
      <w:sz w:val="24"/>
      <w:szCs w:val="20"/>
    </w:rPr>
  </w:style>
  <w:style w:type="paragraph" w:styleId="1231">
    <w:name w:val="p1"/>
    <w:basedOn w:val="879"/>
    <w:next w:val="1231"/>
    <w:link w:val="879"/>
    <w:pPr>
      <w:jc w:val="left"/>
      <w:spacing w:before="100" w:beforeAutospacing="1" w:after="100" w:afterAutospacing="1"/>
      <w:widowControl/>
    </w:pPr>
    <w:rPr>
      <w:rFonts w:ascii="宋体" w:hAnsi="宋体" w:eastAsia="宋体" w:cs="宋体"/>
      <w:sz w:val="24"/>
    </w:rPr>
  </w:style>
  <w:style w:type="paragraph" w:styleId="1232">
    <w:name w:val="正文 A A"/>
    <w:next w:val="1232"/>
    <w:link w:val="879"/>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paragraph" w:styleId="1233">
    <w:name w:val="Plain Text1"/>
    <w:basedOn w:val="879"/>
    <w:next w:val="1233"/>
    <w:link w:val="879"/>
    <w:qFormat/>
    <w:rPr>
      <w:rFonts w:ascii="宋体" w:hAnsi="Courier New" w:eastAsia="楷体_GB2312"/>
      <w:sz w:val="26"/>
      <w:szCs w:val="20"/>
    </w:rPr>
  </w:style>
  <w:style w:type="paragraph" w:styleId="1234">
    <w:name w:val="正文 A"/>
    <w:next w:val="1234"/>
    <w:link w:val="879"/>
    <w:uiPriority w:val="99"/>
    <w:qFormat/>
    <w:pPr>
      <w:jc w:val="both"/>
      <w:widowControl w:val="off"/>
      <w:framePr w:wrap="around" w:vAnchor="margin" w:hAnchor="text" w:y="1"/>
    </w:pPr>
    <w:rPr>
      <w:rFonts w:ascii="Times New Roman" w:hAnsi="Times New Roman" w:eastAsia="宋体" w:cs="Times New Roman"/>
      <w:color w:val="000000"/>
      <w:sz w:val="30"/>
      <w:szCs w:val="30"/>
      <w:lang w:val="en-US" w:eastAsia="zh-CN" w:bidi="ar-SA"/>
    </w:rPr>
  </w:style>
  <w:style w:type="paragraph" w:styleId="1235">
    <w:name w:val="List Paragraph11"/>
    <w:basedOn w:val="879"/>
    <w:next w:val="1235"/>
    <w:link w:val="879"/>
    <w:pPr>
      <w:ind w:firstLine="420"/>
    </w:pPr>
    <w:rPr>
      <w:rFonts w:ascii="Calibri" w:hAnsi="Calibri" w:eastAsia="宋体" w:cs="Times New Roman"/>
    </w:rPr>
  </w:style>
  <w:style w:type="paragraph" w:styleId="1236">
    <w:name w:val="纯文本1"/>
    <w:basedOn w:val="879"/>
    <w:next w:val="1236"/>
    <w:link w:val="879"/>
    <w:rPr>
      <w:rFonts w:ascii="宋体" w:hAnsi="Courier New" w:eastAsia="楷体_GB2312" w:cs="Times New Roman"/>
      <w:sz w:val="28"/>
      <w:szCs w:val="20"/>
    </w:rPr>
  </w:style>
  <w:style w:type="paragraph" w:styleId="1237">
    <w:name w:val="xl47"/>
    <w:basedOn w:val="879"/>
    <w:next w:val="1237"/>
    <w:link w:val="8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38">
    <w:name w:val="TOC 标题"/>
    <w:basedOn w:val="1164"/>
    <w:next w:val="879"/>
    <w:link w:val="879"/>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239">
    <w:name w:val="纯文本2"/>
    <w:basedOn w:val="879"/>
    <w:next w:val="1239"/>
    <w:link w:val="879"/>
    <w:qFormat/>
    <w:rPr>
      <w:rFonts w:ascii="宋体" w:hAnsi="Courier New" w:eastAsia="楷体_GB2312"/>
      <w:sz w:val="26"/>
      <w:szCs w:val="20"/>
    </w:rPr>
  </w:style>
  <w:style w:type="character" w:styleId="1240">
    <w:name w:val="font11"/>
    <w:next w:val="1240"/>
    <w:link w:val="879"/>
    <w:rPr>
      <w:rFonts w:hint="eastAsia" w:ascii="宋体" w:hAnsi="宋体" w:eastAsia="宋体" w:cs="宋体"/>
      <w:i w:val="0"/>
      <w:iCs w:val="0"/>
      <w:color w:val="000000"/>
      <w:sz w:val="22"/>
      <w:szCs w:val="22"/>
      <w:u w:val="none"/>
    </w:rPr>
  </w:style>
  <w:style w:type="character" w:styleId="1241">
    <w:name w:val="font01"/>
    <w:next w:val="1241"/>
    <w:link w:val="879"/>
    <w:qFormat/>
    <w:rPr>
      <w:rFonts w:hint="eastAsia" w:ascii="宋体" w:hAnsi="宋体" w:eastAsia="宋体" w:cs="宋体"/>
      <w:i w:val="0"/>
      <w:iCs w:val="0"/>
      <w:color w:val="000000"/>
      <w:sz w:val="21"/>
      <w:szCs w:val="21"/>
      <w:u w:val="none"/>
    </w:rPr>
  </w:style>
  <w:style w:type="character" w:styleId="1242">
    <w:name w:val="font31"/>
    <w:next w:val="1242"/>
    <w:link w:val="879"/>
    <w:rPr>
      <w:rFonts w:hint="eastAsia" w:ascii="宋体" w:hAnsi="宋体" w:eastAsia="宋体" w:cs="宋体"/>
      <w:i w:val="0"/>
      <w:iCs w:val="0"/>
      <w:color w:val="000000"/>
      <w:sz w:val="22"/>
      <w:szCs w:val="22"/>
      <w:u w:val="none"/>
    </w:rPr>
  </w:style>
  <w:style w:type="character" w:styleId="1243">
    <w:name w:val="font51"/>
    <w:next w:val="1243"/>
    <w:link w:val="879"/>
    <w:qFormat/>
    <w:rPr>
      <w:rFonts w:hint="eastAsia" w:ascii="宋体" w:hAnsi="宋体" w:eastAsia="宋体" w:cs="宋体"/>
      <w:i w:val="0"/>
      <w:iCs w:val="0"/>
      <w:color w:val="000000"/>
      <w:sz w:val="21"/>
      <w:szCs w:val="21"/>
      <w:u w:val="none"/>
    </w:rPr>
  </w:style>
  <w:style w:type="paragraph" w:styleId="1244">
    <w:name w:val="Table Text"/>
    <w:basedOn w:val="879"/>
    <w:next w:val="1244"/>
    <w:link w:val="879"/>
    <w:semiHidden/>
    <w:qFormat/>
    <w:rPr>
      <w:rFonts w:ascii="宋体" w:hAnsi="宋体" w:eastAsia="宋体" w:cs="宋体"/>
      <w:sz w:val="14"/>
      <w:szCs w:val="14"/>
      <w:lang w:val="en-US" w:eastAsia="en-US" w:bidi="ar-SA"/>
    </w:rPr>
  </w:style>
  <w:style w:type="table" w:styleId="1245">
    <w:name w:val="Table Normal"/>
    <w:next w:val="1245"/>
    <w:link w:val="879"/>
    <w:unhideWhenUsed/>
    <w:qFormat/>
    <w:rPr>
      <w:lang w:val="en-US" w:eastAsia="zh-CN" w:bidi="ar-SA"/>
    </w:rPr>
    <w:tblPr/>
  </w:style>
  <w:style w:type="character" w:styleId="1246">
    <w:name w:val="未处理的提及"/>
    <w:next w:val="1246"/>
    <w:link w:val="879"/>
    <w:uiPriority w:val="99"/>
    <w:unhideWhenUsed/>
    <w:qFormat/>
    <w:rPr>
      <w:rFonts w:ascii="Calibri" w:hAnsi="Calibri" w:eastAsia="宋体" w:cs="Times New Roman"/>
      <w:color w:val="605e5c"/>
      <w:shd w:val="clear" w:color="auto" w:fill="e1dfdd"/>
    </w:rPr>
  </w:style>
  <w:style w:type="paragraph" w:styleId="1247">
    <w:name w:val="页眉1"/>
    <w:basedOn w:val="879"/>
    <w:next w:val="1247"/>
    <w:link w:val="879"/>
    <w:qFormat/>
    <w:pPr>
      <w:jc w:val="center"/>
      <w:tabs>
        <w:tab w:val="center" w:pos="4153" w:leader="none"/>
        <w:tab w:val="right" w:pos="8306" w:leader="none"/>
      </w:tabs>
      <w:pBdr>
        <w:bottom w:val="none" w:color="000000" w:sz="0" w:space="1"/>
      </w:pBdr>
    </w:pPr>
    <w:rPr>
      <w:sz w:val="18"/>
      <w:szCs w:val="18"/>
    </w:rPr>
  </w:style>
  <w:style w:type="paragraph" w:styleId="1248">
    <w:name w:val="页脚1"/>
    <w:basedOn w:val="879"/>
    <w:next w:val="1248"/>
    <w:link w:val="879"/>
    <w:uiPriority w:val="99"/>
    <w:qFormat/>
    <w:pPr>
      <w:jc w:val="left"/>
      <w:tabs>
        <w:tab w:val="center" w:pos="4153" w:leader="none"/>
        <w:tab w:val="right" w:pos="8306" w:leader="none"/>
      </w:tabs>
    </w:pPr>
    <w:rPr>
      <w:sz w:val="18"/>
      <w:szCs w:val="18"/>
    </w:rPr>
  </w:style>
  <w:style w:type="paragraph" w:styleId="1249">
    <w:name w:val="纯文本4"/>
    <w:basedOn w:val="879"/>
    <w:next w:val="1249"/>
    <w:link w:val="879"/>
    <w:qFormat/>
    <w:rPr>
      <w:rFonts w:ascii="宋体" w:hAnsi="Courier New" w:eastAsia="楷体_GB2312"/>
      <w:sz w:val="26"/>
      <w:szCs w:val="20"/>
    </w:rPr>
  </w:style>
  <w:style w:type="character" w:styleId="1250">
    <w:name w:val="font131"/>
    <w:next w:val="1250"/>
    <w:link w:val="879"/>
    <w:rPr>
      <w:rFonts w:hint="eastAsia" w:ascii="宋体" w:hAnsi="宋体" w:eastAsia="宋体" w:cs="宋体"/>
      <w:i w:val="0"/>
      <w:iCs w:val="0"/>
      <w:color w:val="000000"/>
      <w:sz w:val="21"/>
      <w:szCs w:val="21"/>
      <w:u w:val="single"/>
    </w:rPr>
  </w:style>
  <w:style w:type="character" w:styleId="1251">
    <w:name w:val="font81"/>
    <w:next w:val="1251"/>
    <w:link w:val="879"/>
    <w:qFormat/>
    <w:rPr>
      <w:rFonts w:hint="eastAsia" w:ascii="宋体" w:hAnsi="宋体" w:eastAsia="宋体" w:cs="宋体"/>
      <w:i w:val="0"/>
      <w:iCs w:val="0"/>
      <w:color w:val="000000"/>
      <w:sz w:val="21"/>
      <w:szCs w:val="21"/>
      <w:u w:val="none"/>
    </w:rPr>
  </w:style>
  <w:style w:type="character" w:styleId="1252">
    <w:name w:val="font141"/>
    <w:next w:val="1252"/>
    <w:link w:val="879"/>
    <w:qFormat/>
    <w:rPr>
      <w:rFonts w:ascii="Arial" w:hAnsi="Arial" w:cs="Arial"/>
      <w:i w:val="0"/>
      <w:iCs w:val="0"/>
      <w:color w:val="000000"/>
      <w:sz w:val="21"/>
      <w:szCs w:val="21"/>
      <w:u w:val="none"/>
    </w:rPr>
  </w:style>
  <w:style w:type="character" w:styleId="1253">
    <w:name w:val="font151"/>
    <w:next w:val="1253"/>
    <w:link w:val="879"/>
    <w:qFormat/>
    <w:rPr>
      <w:rFonts w:ascii="Calibri" w:hAnsi="Calibri" w:cs="Calibri"/>
      <w:i w:val="0"/>
      <w:iCs w:val="0"/>
      <w:color w:val="ff0000"/>
      <w:sz w:val="21"/>
      <w:szCs w:val="21"/>
      <w:u w:val="none"/>
    </w:rPr>
  </w:style>
  <w:style w:type="character" w:styleId="1254">
    <w:name w:val="font122"/>
    <w:next w:val="1254"/>
    <w:link w:val="879"/>
    <w:qFormat/>
    <w:rPr>
      <w:rFonts w:hint="eastAsia" w:ascii="宋体" w:hAnsi="宋体" w:eastAsia="宋体" w:cs="宋体"/>
      <w:i w:val="0"/>
      <w:iCs w:val="0"/>
      <w:color w:val="ff0000"/>
      <w:sz w:val="21"/>
      <w:szCs w:val="21"/>
      <w:u w:val="none"/>
    </w:rPr>
  </w:style>
  <w:style w:type="character" w:styleId="1255">
    <w:name w:val="font12"/>
    <w:next w:val="1255"/>
    <w:link w:val="879"/>
    <w:qFormat/>
    <w:rPr>
      <w:rFonts w:ascii="Arial" w:hAnsi="Arial" w:cs="Arial"/>
      <w:i w:val="0"/>
      <w:iCs w:val="0"/>
      <w:color w:val="000000"/>
      <w:sz w:val="18"/>
      <w:szCs w:val="18"/>
      <w:u w:val="none"/>
    </w:rPr>
  </w:style>
  <w:style w:type="character" w:styleId="1256">
    <w:name w:val="font161"/>
    <w:next w:val="1256"/>
    <w:link w:val="879"/>
    <w:rPr>
      <w:rFonts w:hint="eastAsia" w:ascii="宋体" w:hAnsi="宋体" w:eastAsia="宋体" w:cs="宋体"/>
      <w:i w:val="0"/>
      <w:iCs w:val="0"/>
      <w:color w:val="000000"/>
      <w:sz w:val="18"/>
      <w:szCs w:val="18"/>
      <w:u w:val="none"/>
    </w:rPr>
  </w:style>
  <w:style w:type="paragraph" w:styleId="1257">
    <w:name w:val="正文文本缩进 31"/>
    <w:basedOn w:val="879"/>
    <w:next w:val="1257"/>
    <w:link w:val="879"/>
    <w:qFormat/>
    <w:pPr>
      <w:ind w:firstLine="617"/>
      <w:spacing w:line="360" w:lineRule="auto"/>
    </w:pPr>
    <w:rPr>
      <w:sz w:val="24"/>
      <w:szCs w:val="24"/>
    </w:rPr>
  </w:style>
  <w:style w:type="paragraph" w:styleId="1258">
    <w:name w:val="正文缩进11"/>
    <w:basedOn w:val="879"/>
    <w:next w:val="879"/>
    <w:link w:val="879"/>
    <w:qFormat/>
    <w:pPr>
      <w:ind w:firstLine="420"/>
      <w:jc w:val="left"/>
    </w:pPr>
    <w:rPr>
      <w:rFonts w:eastAsia="楷体_GB2312"/>
      <w:sz w:val="24"/>
      <w:szCs w:val="20"/>
    </w:rPr>
  </w:style>
  <w:style w:type="paragraph" w:styleId="1259">
    <w:name w:val="正文缩进1"/>
    <w:basedOn w:val="879"/>
    <w:next w:val="879"/>
    <w:link w:val="879"/>
    <w:qFormat/>
    <w:pPr>
      <w:ind w:firstLine="200"/>
    </w:pPr>
    <w:rPr>
      <w:sz w:val="24"/>
    </w:rPr>
  </w:style>
  <w:style w:type="paragraph" w:styleId="1260">
    <w:name w:val="普通(网站)1"/>
    <w:basedOn w:val="879"/>
    <w:next w:val="1260"/>
    <w:link w:val="879"/>
    <w:qFormat/>
    <w:pPr>
      <w:jc w:val="left"/>
      <w:spacing w:before="100" w:beforeAutospacing="1" w:after="100" w:afterAutospacing="1"/>
      <w:widowControl/>
    </w:pPr>
    <w:rPr>
      <w:rFonts w:ascii="宋体" w:hAnsi="宋体" w:eastAsia="宋体" w:cs="Times New Roman"/>
      <w:sz w:val="24"/>
    </w:rPr>
  </w:style>
  <w:style w:type="paragraph" w:styleId="1261">
    <w:name w:val="纯文本111"/>
    <w:basedOn w:val="879"/>
    <w:next w:val="1261"/>
    <w:link w:val="879"/>
    <w:qFormat/>
    <w:rPr>
      <w:rFonts w:ascii="宋体" w:hAnsi="Courier New" w:eastAsia="楷体_GB2312" w:cs="Times New Roman"/>
      <w:sz w:val="28"/>
      <w:szCs w:val="20"/>
    </w:rPr>
  </w:style>
  <w:style w:type="paragraph" w:styleId="1262">
    <w:name w:val="正文文本缩进11"/>
    <w:basedOn w:val="879"/>
    <w:next w:val="1263"/>
    <w:link w:val="879"/>
    <w:qFormat/>
    <w:pPr>
      <w:ind w:left="570"/>
      <w:spacing w:line="520" w:lineRule="exact"/>
    </w:pPr>
    <w:rPr>
      <w:rFonts w:ascii="方正仿宋简体" w:hAnsi="创艺简仿宋" w:eastAsia="方正仿宋简体"/>
      <w:sz w:val="24"/>
      <w:szCs w:val="20"/>
    </w:rPr>
  </w:style>
  <w:style w:type="paragraph" w:styleId="1263">
    <w:name w:val="目录 51"/>
    <w:next w:val="879"/>
    <w:link w:val="879"/>
    <w:qFormat/>
    <w:pPr>
      <w:ind w:left="1275"/>
      <w:jc w:val="both"/>
    </w:pPr>
    <w:rPr>
      <w:rFonts w:ascii="Times New Roman" w:hAnsi="Times New Roman" w:eastAsia="宋体" w:cs="Times New Roman"/>
      <w:sz w:val="21"/>
      <w:lang w:val="en-US" w:eastAsia="zh-CN" w:bidi="ar-SA"/>
    </w:rPr>
  </w:style>
  <w:style w:type="paragraph" w:styleId="1264">
    <w:name w:val="寄信人地址1"/>
    <w:basedOn w:val="879"/>
    <w:next w:val="1264"/>
    <w:link w:val="879"/>
    <w:qFormat/>
    <w:rPr>
      <w:rFonts w:ascii="Arial" w:hAnsi="Arial" w:eastAsia="楷体_GB2312"/>
      <w:sz w:val="26"/>
      <w:szCs w:val="20"/>
    </w:rPr>
  </w:style>
  <w:style w:type="paragraph" w:styleId="1265">
    <w:name w:val="纯文本5"/>
    <w:basedOn w:val="879"/>
    <w:next w:val="1265"/>
    <w:link w:val="879"/>
    <w:qFormat/>
    <w:rPr>
      <w:rFonts w:hint="eastAsia" w:ascii="宋体" w:hAnsi="Courier New" w:eastAsia="楷体_GB2312"/>
      <w:sz w:val="28"/>
    </w:rPr>
  </w:style>
  <w:style w:type="character" w:styleId="1266" w:default="1">
    <w:name w:val="Default Paragraph Font"/>
    <w:uiPriority w:val="1"/>
    <w:semiHidden/>
    <w:unhideWhenUsed/>
  </w:style>
  <w:style w:type="numbering" w:styleId="1267" w:default="1">
    <w:name w:val="No List"/>
    <w:uiPriority w:val="99"/>
    <w:semiHidden/>
    <w:unhideWhenUsed/>
  </w:style>
  <w:style w:type="table" w:styleId="12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孙继伟</cp:lastModifiedBy>
  <cp:revision>12</cp:revision>
  <dcterms:created xsi:type="dcterms:W3CDTF">2019-12-09T13:06:00Z</dcterms:created>
  <dcterms:modified xsi:type="dcterms:W3CDTF">2025-12-04T07:32:38Z</dcterms:modified>
</cp:coreProperties>
</file>